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ind w:left="0" w:leftChars="0" w:right="0" w:rightChars="0" w:firstLine="0" w:firstLineChars="0"/>
        <w:jc w:val="center"/>
        <w:textAlignment w:val="auto"/>
        <w:outlineLvl w:val="9"/>
        <w:rPr>
          <w:rFonts w:hint="eastAsia" w:ascii="Times New Roman" w:hAnsi="Times New Roman" w:eastAsia="方正小标宋简体" w:cs="Times New Roman"/>
          <w:color w:val="auto"/>
          <w:kern w:val="0"/>
          <w:sz w:val="44"/>
          <w:szCs w:val="44"/>
          <w:lang w:val="en-US" w:eastAsia="zh-CN"/>
        </w:rPr>
      </w:pPr>
      <w:bookmarkStart w:id="0" w:name="_GoBack"/>
      <w:bookmarkEnd w:id="0"/>
      <w:r>
        <w:rPr>
          <w:rFonts w:hint="eastAsia" w:ascii="宋体" w:hAnsi="宋体" w:eastAsia="宋体" w:cs="Times New Roman"/>
          <w:b/>
          <w:bCs/>
          <w:color w:val="000000"/>
          <w:kern w:val="0"/>
          <w:sz w:val="40"/>
          <w:szCs w:val="40"/>
          <w:lang w:val="en-US" w:eastAsia="zh-CN" w:bidi="ar-SA"/>
        </w:rPr>
        <w:t>高速公路收费管理</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安全生产标准化达标自评指南（试行）</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p>
    <w:p>
      <w:pPr>
        <w:pStyle w:val="9"/>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说明：</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33"/>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9"/>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ascii="Arial" w:hAnsi="Arial" w:eastAsia="Tahoma" w:cs="Arial"/>
          <w:b/>
          <w:sz w:val="36"/>
          <w:szCs w:val="36"/>
          <w:lang w:val="en-US" w:eastAsia="zh-CN"/>
        </w:rPr>
      </w:pPr>
      <w:r>
        <w:rPr>
          <w:rFonts w:hint="eastAsia" w:ascii="Arial" w:hAnsi="Arial" w:eastAsia="Tahoma" w:cs="Arial"/>
          <w:b/>
          <w:sz w:val="36"/>
          <w:szCs w:val="36"/>
        </w:rPr>
        <w:t>高速公路收费管理</w:t>
      </w:r>
      <w:r>
        <w:rPr>
          <w:rFonts w:hint="default" w:ascii="Arial" w:hAnsi="Arial" w:eastAsia="Tahoma" w:cs="Arial"/>
          <w:b/>
          <w:sz w:val="36"/>
          <w:szCs w:val="36"/>
        </w:rPr>
        <w:t>企业安全生产</w:t>
      </w:r>
      <w:r>
        <w:rPr>
          <w:rFonts w:hint="eastAsia" w:ascii="Arial" w:hAnsi="Arial" w:eastAsia="Tahoma" w:cs="Arial"/>
          <w:b/>
          <w:sz w:val="36"/>
          <w:szCs w:val="36"/>
          <w:lang w:val="en-US" w:eastAsia="zh-CN"/>
        </w:rPr>
        <w:t>标准化达标自评指南</w:t>
      </w:r>
    </w:p>
    <w:tbl>
      <w:tblPr>
        <w:tblStyle w:val="12"/>
        <w:tblW w:w="0" w:type="auto"/>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Layout w:type="fixed"/>
        <w:tblCellMar>
          <w:top w:w="15" w:type="dxa"/>
          <w:left w:w="15" w:type="dxa"/>
          <w:bottom w:w="15" w:type="dxa"/>
          <w:right w:w="15" w:type="dxa"/>
        </w:tblCellMar>
      </w:tblPr>
      <w:tblGrid>
        <w:gridCol w:w="1007"/>
        <w:gridCol w:w="1041"/>
        <w:gridCol w:w="2411"/>
        <w:gridCol w:w="3341"/>
        <w:gridCol w:w="1173"/>
        <w:gridCol w:w="2542"/>
        <w:gridCol w:w="1392"/>
        <w:gridCol w:w="1231"/>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543" w:hRule="atLeast"/>
          <w:tblHeader/>
        </w:trPr>
        <w:tc>
          <w:tcPr>
            <w:tcW w:w="1007"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内容</w:t>
            </w:r>
          </w:p>
        </w:tc>
        <w:tc>
          <w:tcPr>
            <w:tcW w:w="3452" w:type="dxa"/>
            <w:gridSpan w:val="2"/>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w:t>
            </w:r>
            <w:r>
              <w:rPr>
                <w:rFonts w:hint="default" w:ascii="Times New Roman" w:hAnsi="Times New Roman" w:eastAsia="宋体" w:cs="Times New Roman"/>
                <w:b/>
                <w:color w:val="auto"/>
                <w:kern w:val="0"/>
                <w:sz w:val="22"/>
                <w:szCs w:val="22"/>
                <w:lang w:val="en-US" w:eastAsia="zh-CN" w:bidi="ar"/>
              </w:rPr>
              <w:t>要点</w:t>
            </w:r>
          </w:p>
        </w:tc>
        <w:tc>
          <w:tcPr>
            <w:tcW w:w="3341" w:type="dxa"/>
            <w:tcBorders>
              <w:tl2br w:val="nil"/>
              <w:tr2bl w:val="nil"/>
            </w:tcBorders>
            <w:shd w:val="clear" w:color="auto" w:fill="auto"/>
            <w:noWrap/>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highlight w:val="none"/>
                <w:lang w:val="en-US" w:eastAsia="zh-CN" w:bidi="ar"/>
              </w:rPr>
              <w:t>规范索引</w:t>
            </w:r>
          </w:p>
        </w:tc>
        <w:tc>
          <w:tcPr>
            <w:tcW w:w="1173"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标准分值</w:t>
            </w:r>
          </w:p>
        </w:tc>
        <w:tc>
          <w:tcPr>
            <w:tcW w:w="2542"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sz w:val="22"/>
                <w:szCs w:val="22"/>
              </w:rPr>
            </w:pPr>
            <w:r>
              <w:rPr>
                <w:rFonts w:hint="eastAsia" w:ascii="Times New Roman" w:hAnsi="Times New Roman" w:eastAsia="宋体" w:cs="Times New Roman"/>
                <w:b/>
                <w:color w:val="auto"/>
                <w:kern w:val="0"/>
                <w:sz w:val="22"/>
                <w:szCs w:val="22"/>
                <w:lang w:val="en-US" w:eastAsia="zh-CN" w:bidi="ar"/>
              </w:rPr>
              <w:t>建设评价标准</w:t>
            </w:r>
          </w:p>
        </w:tc>
        <w:tc>
          <w:tcPr>
            <w:tcW w:w="1392"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评价记录</w:t>
            </w:r>
          </w:p>
        </w:tc>
        <w:tc>
          <w:tcPr>
            <w:tcW w:w="1231" w:type="dxa"/>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Times New Roman" w:hAnsi="Times New Roman" w:eastAsia="宋体" w:cs="Times New Roman"/>
                <w:b/>
                <w:color w:val="auto"/>
                <w:kern w:val="0"/>
                <w:sz w:val="22"/>
                <w:szCs w:val="22"/>
                <w:lang w:val="en-US" w:eastAsia="zh-CN" w:bidi="ar"/>
              </w:rPr>
            </w:pPr>
            <w:r>
              <w:rPr>
                <w:rFonts w:hint="eastAsia" w:ascii="Times New Roman" w:hAnsi="Times New Roman" w:eastAsia="宋体" w:cs="Times New Roman"/>
                <w:b/>
                <w:color w:val="auto"/>
                <w:kern w:val="0"/>
                <w:sz w:val="22"/>
                <w:szCs w:val="22"/>
                <w:lang w:val="en-US" w:eastAsia="zh-CN" w:bidi="ar"/>
              </w:rPr>
              <w:t>得分</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目标与考核</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1.1 </w:t>
            </w:r>
            <w:r>
              <w:rPr>
                <w:rFonts w:hint="eastAsia" w:ascii="Times New Roman" w:hAnsi="Times New Roman" w:eastAsia="宋体" w:cs="Times New Roman"/>
                <w:color w:val="auto"/>
                <w:kern w:val="0"/>
                <w:sz w:val="22"/>
                <w:szCs w:val="22"/>
                <w:lang w:val="en-US" w:eastAsia="zh-CN" w:bidi="ar"/>
              </w:rPr>
              <w:t>目标（15分）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企业应结合实际制定安全生产目标。安全生产目标应： 符合或严于相关法律法规要求； 形成文件，并得到本企业所有从业人员的贯彻和实施； 与企业的职业安全健康风险相适应；具有可考核性，体现企业持续改进的承诺</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安全生产目标是指在一定条件下，一定时间内完成安全活动所达到的某一预期目的的指标。安全生产目标的制定应切合企业实际，要求内容明确，并可制定出具体的、量化的安全考核指标</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企业应根据安全生产目标制定可考核的安全生产工作指标，指标应不低于上级下达的目标</w:t>
            </w:r>
            <w:r>
              <w:rPr>
                <w:rFonts w:hint="eastAsia"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安全生产目标应以文件形式正式发布，使全体员工和相关方获知</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制定符合要求的安全生产目标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安全生产目标</w:t>
            </w:r>
            <w:r>
              <w:rPr>
                <w:rFonts w:hint="eastAsia" w:ascii="Times New Roman" w:hAnsi="Times New Roman" w:eastAsia="宋体" w:cs="Times New Roman"/>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正式发布、贯彻和实施</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eastAsiaTheme="minorEastAsia" w:cstheme="minorEastAsia"/>
                <w:bCs/>
                <w:sz w:val="22"/>
                <w:szCs w:val="22"/>
              </w:rPr>
              <w:t>企业应将安全生产工作指标进行细化和分解</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制定安全生产年度计划</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bCs/>
                <w:sz w:val="22"/>
                <w:szCs w:val="22"/>
                <w:lang w:eastAsia="zh-CN"/>
              </w:rPr>
            </w:pPr>
            <w:r>
              <w:rPr>
                <w:rFonts w:hint="eastAsia" w:asciiTheme="minorEastAsia" w:hAnsiTheme="minorEastAsia" w:cstheme="minorEastAsia"/>
                <w:bCs/>
                <w:sz w:val="22"/>
                <w:szCs w:val="22"/>
                <w:lang w:val="en-US" w:eastAsia="zh-CN"/>
              </w:rPr>
              <w:t>1.</w:t>
            </w:r>
            <w:r>
              <w:rPr>
                <w:rFonts w:hint="eastAsia" w:asciiTheme="minorEastAsia" w:hAnsiTheme="minorEastAsia" w:eastAsiaTheme="minorEastAsia" w:cstheme="minorEastAsia"/>
                <w:bCs/>
                <w:sz w:val="22"/>
                <w:szCs w:val="22"/>
              </w:rPr>
              <w:t>企业</w:t>
            </w:r>
            <w:r>
              <w:rPr>
                <w:rFonts w:hint="eastAsia" w:asciiTheme="minorEastAsia" w:hAnsiTheme="minorEastAsia" w:cstheme="minorEastAsia"/>
                <w:bCs/>
                <w:sz w:val="22"/>
                <w:szCs w:val="22"/>
                <w:lang w:val="en-US" w:eastAsia="zh-CN"/>
              </w:rPr>
              <w:t>应将</w:t>
            </w:r>
            <w:r>
              <w:rPr>
                <w:rFonts w:hint="eastAsia" w:asciiTheme="minorEastAsia" w:hAnsiTheme="minorEastAsia" w:eastAsiaTheme="minorEastAsia" w:cstheme="minorEastAsia"/>
                <w:bCs/>
                <w:sz w:val="22"/>
                <w:szCs w:val="22"/>
              </w:rPr>
              <w:t>年度的安全生产目标逐级细化分解，落实到每个单位、部门、班组或岗位。通过对指标进行考核，以激励全体职工的积极性，从而保证指标的完成</w:t>
            </w:r>
            <w:r>
              <w:rPr>
                <w:rFonts w:hint="eastAsia" w:asciiTheme="minorEastAsia" w:hAnsiTheme="minorEastAsia" w:cstheme="minorEastAsia"/>
                <w:bCs/>
                <w:sz w:val="22"/>
                <w:szCs w:val="22"/>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color w:val="auto"/>
                <w:kern w:val="0"/>
                <w:sz w:val="22"/>
                <w:szCs w:val="22"/>
                <w:lang w:val="en-US" w:eastAsia="zh-CN" w:bidi="ar"/>
              </w:rPr>
            </w:pPr>
            <w:r>
              <w:rPr>
                <w:rFonts w:hint="eastAsia" w:asciiTheme="minorEastAsia" w:hAnsiTheme="minorEastAsia" w:cstheme="minorEastAsia"/>
                <w:bCs/>
                <w:sz w:val="22"/>
                <w:szCs w:val="22"/>
                <w:lang w:val="en-US" w:eastAsia="zh-CN"/>
              </w:rPr>
              <w:t>2.</w:t>
            </w:r>
            <w:r>
              <w:rPr>
                <w:rFonts w:hint="eastAsia" w:asciiTheme="minorEastAsia" w:hAnsiTheme="minorEastAsia" w:eastAsiaTheme="minorEastAsia" w:cstheme="minorEastAsia"/>
                <w:bCs/>
                <w:sz w:val="22"/>
                <w:szCs w:val="22"/>
              </w:rPr>
              <w:t>企业每年年初应在上一年度生产安全管理取得成果的基础之上，针对生产安全过程中存在的不足制定本年度的生产安全年度计划</w:t>
            </w:r>
            <w:r>
              <w:rPr>
                <w:rFonts w:hint="eastAsia" w:asciiTheme="minorEastAsia" w:hAnsiTheme="minorEastAsia" w:cstheme="minorEastAsia"/>
                <w:bCs/>
                <w:sz w:val="22"/>
                <w:szCs w:val="22"/>
                <w:lang w:eastAsia="zh-CN"/>
              </w:rPr>
              <w:t>，</w:t>
            </w:r>
            <w:r>
              <w:rPr>
                <w:rFonts w:hint="eastAsia" w:asciiTheme="minorEastAsia" w:hAnsiTheme="minorEastAsia" w:eastAsiaTheme="minorEastAsia" w:cstheme="minorEastAsia"/>
                <w:bCs/>
                <w:sz w:val="22"/>
                <w:szCs w:val="22"/>
              </w:rPr>
              <w:t>进一步细化工作，使其更具有</w:t>
            </w:r>
            <w:r>
              <w:rPr>
                <w:rFonts w:hint="eastAsia" w:asciiTheme="minorEastAsia" w:hAnsiTheme="minorEastAsia" w:cstheme="minorEastAsia"/>
                <w:bCs/>
                <w:sz w:val="22"/>
                <w:szCs w:val="22"/>
                <w:lang w:val="en-US" w:eastAsia="zh-CN"/>
              </w:rPr>
              <w:t>针</w:t>
            </w:r>
            <w:r>
              <w:rPr>
                <w:rFonts w:hint="eastAsia" w:asciiTheme="minorEastAsia" w:hAnsiTheme="minorEastAsia" w:eastAsiaTheme="minorEastAsia" w:cstheme="minorEastAsia"/>
                <w:bCs/>
                <w:sz w:val="22"/>
                <w:szCs w:val="22"/>
              </w:rPr>
              <w:t>对性和操做性</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bCs/>
                <w:kern w:val="2"/>
                <w:sz w:val="22"/>
                <w:szCs w:val="22"/>
                <w:lang w:val="en-US" w:eastAsia="zh-CN" w:bidi="ar-SA"/>
              </w:rPr>
            </w:pPr>
            <w:r>
              <w:rPr>
                <w:rFonts w:hint="eastAsia" w:asciiTheme="minorEastAsia" w:hAnsiTheme="minorEastAsia" w:cstheme="minorEastAsia"/>
                <w:bCs/>
                <w:kern w:val="2"/>
                <w:sz w:val="22"/>
                <w:szCs w:val="22"/>
                <w:lang w:val="en-US" w:eastAsia="zh-CN" w:bidi="ar-SA"/>
              </w:rPr>
              <w:t>1.</w:t>
            </w:r>
            <w:r>
              <w:rPr>
                <w:rFonts w:hint="default" w:asciiTheme="minorEastAsia" w:hAnsiTheme="minorEastAsia" w:eastAsiaTheme="minorEastAsia" w:cstheme="minorEastAsia"/>
                <w:bCs/>
                <w:kern w:val="2"/>
                <w:sz w:val="22"/>
                <w:szCs w:val="22"/>
                <w:lang w:val="en-US" w:eastAsia="zh-CN" w:bidi="ar-SA"/>
              </w:rPr>
              <w:t>未细化和分解安全生产工作指标</w:t>
            </w:r>
            <w:r>
              <w:rPr>
                <w:rFonts w:hint="eastAsia" w:asciiTheme="minorEastAsia" w:hAnsiTheme="minorEastAsia" w:cstheme="minorEastAsia"/>
                <w:bCs/>
                <w:kern w:val="2"/>
                <w:sz w:val="22"/>
                <w:szCs w:val="22"/>
                <w:lang w:val="en-US" w:eastAsia="zh-CN" w:bidi="ar-SA"/>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eastAsiaTheme="minorEastAsia"/>
                <w:sz w:val="22"/>
                <w:szCs w:val="22"/>
                <w:lang w:val="en-US" w:eastAsia="zh-CN"/>
              </w:rPr>
            </w:pPr>
            <w:r>
              <w:rPr>
                <w:rFonts w:hint="eastAsia"/>
                <w:sz w:val="22"/>
                <w:szCs w:val="22"/>
                <w:lang w:val="en-US" w:eastAsia="zh-CN"/>
              </w:rPr>
              <w:t>2.</w:t>
            </w:r>
            <w:r>
              <w:rPr>
                <w:rFonts w:hint="eastAsia"/>
                <w:sz w:val="22"/>
                <w:szCs w:val="22"/>
              </w:rPr>
              <w:t>未制定安全生产年度计划</w:t>
            </w:r>
            <w:r>
              <w:rPr>
                <w:rFonts w:hint="eastAsia"/>
                <w:sz w:val="22"/>
                <w:szCs w:val="22"/>
                <w:lang w:eastAsia="zh-CN"/>
              </w:rPr>
              <w:t>，</w:t>
            </w:r>
            <w:r>
              <w:rPr>
                <w:rFonts w:hint="eastAsia"/>
                <w:sz w:val="22"/>
                <w:szCs w:val="22"/>
                <w:lang w:val="en-US"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sz w:val="22"/>
                <w:szCs w:val="22"/>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2考核（5分）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企业应建立安全生产目标考核与奖惩的相关制度，并定期对安全生产目标完成情况予以考核与奖惩</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要结合实际，按照组织机构及下属单位在安全生产中可能面临的风险大小，将企业年度的安全生产目标逐级细化分解，落实到公司、部门、岗位。通过对指标进行考核，以激励全体员工的积极性，从而保证指标的完成</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auto"/>
                <w:kern w:val="0"/>
                <w:sz w:val="22"/>
                <w:szCs w:val="22"/>
                <w:lang w:val="en-US" w:eastAsia="zh-CN" w:bidi="ar"/>
              </w:rPr>
              <w:t>未对指标完成情况进行考核或考核不完整不合理的，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未进行考核的，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二、</w:t>
            </w:r>
            <w:r>
              <w:rPr>
                <w:rFonts w:hint="default" w:ascii="Times New Roman" w:hAnsi="Times New Roman" w:eastAsia="宋体" w:cs="Times New Roman"/>
                <w:color w:val="auto"/>
                <w:kern w:val="0"/>
                <w:sz w:val="22"/>
                <w:szCs w:val="22"/>
                <w:lang w:val="en-US" w:eastAsia="zh-CN" w:bidi="ar"/>
              </w:rPr>
              <w:t xml:space="preserve">机构设置与职责 </w:t>
            </w:r>
            <w:r>
              <w:rPr>
                <w:rFonts w:hint="eastAsia" w:ascii="Times New Roman" w:hAnsi="Times New Roman" w:eastAsia="宋体" w:cs="Times New Roman"/>
                <w:color w:val="auto"/>
                <w:kern w:val="0"/>
                <w:sz w:val="22"/>
                <w:szCs w:val="22"/>
                <w:lang w:val="en-US" w:eastAsia="zh-CN" w:bidi="ar"/>
              </w:rPr>
              <w:t>60</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2.1 机构设置及人员配备</w:t>
            </w:r>
            <w:r>
              <w:rPr>
                <w:rFonts w:hint="eastAsia" w:ascii="Times New Roman" w:hAnsi="Times New Roman" w:eastAsia="宋体" w:cs="Times New Roman"/>
                <w:color w:val="auto"/>
                <w:kern w:val="0"/>
                <w:sz w:val="22"/>
                <w:szCs w:val="22"/>
                <w:lang w:val="en-US" w:eastAsia="zh-CN" w:bidi="ar"/>
              </w:rPr>
              <w:t>（6</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企业应建立以企业主要负责人为领导的安全生产委员会（或安全生产领导小组），并应职责明确。应建立健全从安全生产委员会（或安全生产领导小组）至基层班组的安全生产管理网络</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企业安全生产委员会(领导小组)应包括主要负责人、分管负责人和各管理部门及分支机构负责人</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1.未以文件形式成立安全生产委员会（或者领导小组），并未明确职责的，不符合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2.安全生产委员会（或者领导小组）成员未包括主要负责人、部门负责人等相关人员的，不符合；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3.未建立安全生产管理网络图或者覆盖不全的，不符合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rPr>
            </w:pPr>
            <w:r>
              <w:rPr>
                <w:rFonts w:hint="default" w:ascii="Times New Roman" w:hAnsi="Times New Roman" w:eastAsia="宋体" w:cs="Times New Roman"/>
                <w:color w:val="auto"/>
                <w:kern w:val="0"/>
                <w:sz w:val="22"/>
                <w:szCs w:val="22"/>
                <w:highlight w:val="none"/>
                <w:lang w:val="en-US" w:eastAsia="zh-CN" w:bidi="ar"/>
              </w:rPr>
              <w:fldChar w:fldCharType="begin"/>
            </w:r>
            <w:r>
              <w:rPr>
                <w:rFonts w:hint="default" w:ascii="Times New Roman" w:hAnsi="Times New Roman" w:eastAsia="宋体" w:cs="Times New Roman"/>
                <w:color w:val="auto"/>
                <w:kern w:val="0"/>
                <w:sz w:val="22"/>
                <w:szCs w:val="22"/>
                <w:highlight w:val="none"/>
                <w:lang w:val="en-US" w:eastAsia="zh-CN" w:bidi="ar"/>
              </w:rPr>
              <w:instrText xml:space="preserve"> = 2 \* GB3 \* MERGEFORMAT </w:instrText>
            </w:r>
            <w:r>
              <w:rPr>
                <w:rFonts w:hint="default" w:ascii="Times New Roman" w:hAnsi="Times New Roman" w:eastAsia="宋体" w:cs="Times New Roman"/>
                <w:color w:val="auto"/>
                <w:kern w:val="0"/>
                <w:sz w:val="22"/>
                <w:szCs w:val="22"/>
                <w:highlight w:val="none"/>
                <w:lang w:val="en-US" w:eastAsia="zh-CN" w:bidi="ar"/>
              </w:rPr>
              <w:fldChar w:fldCharType="separate"/>
            </w:r>
            <w:r>
              <w:rPr>
                <w:rFonts w:hint="default" w:ascii="Times New Roman" w:hAnsi="Times New Roman" w:eastAsia="宋体" w:cs="Times New Roman"/>
                <w:color w:val="auto"/>
                <w:kern w:val="0"/>
                <w:sz w:val="22"/>
                <w:szCs w:val="22"/>
                <w:highlight w:val="none"/>
                <w:lang w:val="en-US" w:eastAsia="zh-CN" w:bidi="ar"/>
              </w:rPr>
              <w:t>②</w:t>
            </w:r>
            <w:r>
              <w:rPr>
                <w:rFonts w:hint="default" w:ascii="Times New Roman" w:hAnsi="Times New Roman" w:eastAsia="宋体" w:cs="Times New Roman"/>
                <w:color w:val="auto"/>
                <w:kern w:val="0"/>
                <w:sz w:val="22"/>
                <w:szCs w:val="22"/>
                <w:highlight w:val="none"/>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按规定设置与企业规模相适应且独立的安全生产管理机构</w:t>
            </w:r>
            <w:r>
              <w:rPr>
                <w:rFonts w:hint="eastAsia" w:ascii="Times New Roman" w:hAnsi="Times New Roman" w:eastAsia="宋体" w:cs="Times New Roman"/>
                <w:color w:val="auto"/>
                <w:kern w:val="0"/>
                <w:sz w:val="22"/>
                <w:szCs w:val="22"/>
                <w:highlight w:val="none"/>
                <w:lang w:val="en-US" w:eastAsia="zh-CN" w:bidi="ar"/>
              </w:rPr>
              <w:t>或专职安全管理人员</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default" w:ascii="Times New Roman" w:hAnsi="Times New Roman" w:eastAsia="宋体" w:cs="Times New Roman"/>
                <w:color w:val="auto"/>
                <w:kern w:val="0"/>
                <w:sz w:val="22"/>
                <w:szCs w:val="22"/>
                <w:lang w:val="en-US" w:eastAsia="zh-CN" w:bidi="ar"/>
              </w:rPr>
              <w:t>《中华人民共和国安全生产法》第二十</w:t>
            </w: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条规定</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矿山、金属冶炼、建筑施工、运输单位和危险物品的生产、经营、储存、装卸单位，应当设置安全生产管理机构或者配备专职安全生产管理人员。第二十</w:t>
            </w: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条规定，生产经营单位的主要负责人和安全生产管理人员必须具备与本单位所从事的生产经营活动相应的安全生产知识和管理能力。道路运输单位的主要负责人和安全生产管理人员，应当由主管</w:t>
            </w:r>
            <w:r>
              <w:rPr>
                <w:rFonts w:hint="eastAsia" w:ascii="Times New Roman" w:hAnsi="Times New Roman" w:eastAsia="宋体" w:cs="Times New Roman"/>
                <w:color w:val="auto"/>
                <w:kern w:val="0"/>
                <w:sz w:val="22"/>
                <w:szCs w:val="22"/>
                <w:lang w:val="en-US" w:eastAsia="zh-CN" w:bidi="ar"/>
              </w:rPr>
              <w:t>安全</w:t>
            </w:r>
            <w:r>
              <w:rPr>
                <w:rFonts w:hint="default" w:ascii="Times New Roman" w:hAnsi="Times New Roman" w:eastAsia="宋体" w:cs="Times New Roman"/>
                <w:color w:val="auto"/>
                <w:kern w:val="0"/>
                <w:sz w:val="22"/>
                <w:szCs w:val="22"/>
                <w:lang w:val="en-US" w:eastAsia="zh-CN" w:bidi="ar"/>
              </w:rPr>
              <w:t>的负有安全生产监督管理职责的部门对其安全生产知识和管理能力考核合格。考核不得收费。</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sz w:val="22"/>
                <w:szCs w:val="22"/>
                <w:lang w:val="en-US" w:eastAsia="zh-CN"/>
              </w:rPr>
              <w:t>1.</w:t>
            </w:r>
            <w:r>
              <w:rPr>
                <w:rFonts w:hint="default" w:ascii="Times New Roman" w:hAnsi="Times New Roman" w:eastAsia="宋体" w:cs="Times New Roman"/>
                <w:color w:val="auto"/>
                <w:sz w:val="22"/>
                <w:szCs w:val="22"/>
              </w:rPr>
              <w:t>未设置安全</w:t>
            </w:r>
            <w:r>
              <w:rPr>
                <w:rFonts w:hint="default" w:ascii="Times New Roman" w:hAnsi="Times New Roman" w:eastAsia="宋体" w:cs="Times New Roman"/>
                <w:color w:val="auto"/>
                <w:sz w:val="22"/>
                <w:szCs w:val="22"/>
                <w:lang w:val="en-US" w:eastAsia="zh-CN"/>
              </w:rPr>
              <w:t>生产</w:t>
            </w:r>
            <w:r>
              <w:rPr>
                <w:rFonts w:hint="default" w:ascii="Times New Roman" w:hAnsi="Times New Roman" w:eastAsia="宋体" w:cs="Times New Roman"/>
                <w:color w:val="auto"/>
                <w:sz w:val="22"/>
                <w:szCs w:val="22"/>
              </w:rPr>
              <w:t>管理机构</w:t>
            </w:r>
            <w:r>
              <w:rPr>
                <w:rFonts w:hint="default" w:ascii="Times New Roman" w:hAnsi="Times New Roman" w:eastAsia="宋体" w:cs="Times New Roman"/>
                <w:color w:val="auto"/>
                <w:sz w:val="22"/>
                <w:szCs w:val="22"/>
                <w:lang w:val="en-US" w:eastAsia="zh-CN"/>
              </w:rPr>
              <w:t>或未配备专职安全管理人员</w:t>
            </w:r>
            <w:r>
              <w:rPr>
                <w:rFonts w:hint="default" w:ascii="Times New Roman" w:hAnsi="Times New Roman" w:eastAsia="宋体" w:cs="Times New Roman"/>
                <w:color w:val="auto"/>
                <w:sz w:val="22"/>
                <w:szCs w:val="22"/>
              </w:rPr>
              <w:t>，</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2.</w:t>
            </w:r>
            <w:r>
              <w:rPr>
                <w:rFonts w:hint="default" w:ascii="Times New Roman" w:hAnsi="Times New Roman" w:eastAsia="宋体" w:cs="Times New Roman"/>
                <w:color w:val="auto"/>
                <w:sz w:val="22"/>
                <w:szCs w:val="22"/>
                <w:lang w:val="en-US" w:eastAsia="zh-CN"/>
              </w:rPr>
              <w:t>未明确</w:t>
            </w:r>
            <w:r>
              <w:rPr>
                <w:rFonts w:hint="default" w:ascii="Times New Roman" w:hAnsi="Times New Roman" w:eastAsia="宋体" w:cs="Times New Roman"/>
                <w:color w:val="auto"/>
                <w:sz w:val="22"/>
                <w:szCs w:val="22"/>
              </w:rPr>
              <w:t>安全管理机构设置</w:t>
            </w:r>
            <w:r>
              <w:rPr>
                <w:rFonts w:hint="eastAsia" w:ascii="Times New Roman" w:hAnsi="Times New Roman" w:eastAsia="宋体" w:cs="Times New Roman"/>
                <w:color w:val="auto"/>
                <w:sz w:val="22"/>
                <w:szCs w:val="22"/>
                <w:lang w:val="en-US" w:eastAsia="zh-CN"/>
              </w:rPr>
              <w:t>或专职安全管理人员</w:t>
            </w:r>
            <w:r>
              <w:rPr>
                <w:rFonts w:hint="default" w:ascii="Times New Roman" w:hAnsi="Times New Roman" w:eastAsia="宋体" w:cs="Times New Roman"/>
                <w:color w:val="auto"/>
                <w:sz w:val="22"/>
                <w:szCs w:val="22"/>
                <w:lang w:val="en-US" w:eastAsia="zh-CN"/>
              </w:rPr>
              <w:t>职责</w:t>
            </w:r>
            <w:r>
              <w:rPr>
                <w:rFonts w:hint="default" w:ascii="Times New Roman" w:hAnsi="Times New Roman" w:eastAsia="宋体" w:cs="Times New Roman"/>
                <w:color w:val="auto"/>
                <w:sz w:val="22"/>
                <w:szCs w:val="22"/>
              </w:rPr>
              <w:t>的，</w:t>
            </w:r>
            <w:r>
              <w:rPr>
                <w:rFonts w:hint="eastAsia" w:ascii="Times New Roman" w:hAnsi="Times New Roman" w:eastAsia="宋体" w:cs="Times New Roman"/>
                <w:color w:val="auto"/>
                <w:sz w:val="22"/>
                <w:szCs w:val="22"/>
                <w:lang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企业应定期召开安全生产委员会或安全生产领导小组会议。安全生产管理机构或下属分支机构每月至少召开一次安全工作例会</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当定期召开安全生产工作会议和安全例会。安全生产工作会议至少每季度召开1次，研究解决安全生产中的重大问题，安排部署阶段性安全生产工作。安全例会至少每月召开1次，通报和布置落实各项安全生产工作。</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遇有特殊情况和发生重、特大事故时应及时召开安全分析通报会议。安委会会议和安全例会应当有会议记录，会议记录应建档保存至少3年</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未建立工作制度和例会制度的，</w:t>
            </w:r>
            <w:r>
              <w:rPr>
                <w:rFonts w:hint="default" w:ascii="Times New Roman" w:hAnsi="Times New Roman" w:eastAsia="宋体" w:cs="Times New Roman"/>
                <w:color w:val="000000" w:themeColor="text1"/>
                <w:sz w:val="22"/>
                <w:szCs w:val="22"/>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14:textFill>
                  <w14:solidFill>
                    <w14:schemeClr w14:val="tx1"/>
                  </w14:solidFill>
                </w14:textFill>
              </w:rPr>
              <w:t>未定期召开安全专题会的，</w:t>
            </w:r>
            <w:r>
              <w:rPr>
                <w:rFonts w:hint="eastAsia" w:ascii="Times New Roman" w:hAnsi="Times New Roman" w:eastAsia="宋体" w:cs="Times New Roman"/>
                <w:color w:val="000000" w:themeColor="text1"/>
                <w:sz w:val="22"/>
                <w:szCs w:val="22"/>
                <w:lang w:val="en-US" w:eastAsia="zh-CN"/>
                <w14:textFill>
                  <w14:solidFill>
                    <w14:schemeClr w14:val="tx1"/>
                  </w14:solidFill>
                </w14:textFill>
              </w:rPr>
              <w:t>不符合</w:t>
            </w:r>
            <w:r>
              <w:rPr>
                <w:rFonts w:hint="default" w:ascii="Times New Roman" w:hAnsi="Times New Roman" w:eastAsia="宋体" w:cs="Times New Roman"/>
                <w:color w:val="000000" w:themeColor="text1"/>
                <w:sz w:val="22"/>
                <w:szCs w:val="22"/>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14:textFill>
                  <w14:solidFill>
                    <w14:schemeClr w14:val="tx1"/>
                  </w14:solidFill>
                </w14:textFill>
              </w:rPr>
              <w:t>.未跟踪上次会议工作要求落实情况的或未制订新的工作要求的，不符合；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14:textFill>
                  <w14:solidFill>
                    <w14:schemeClr w14:val="tx1"/>
                  </w14:solidFill>
                </w14:textFill>
              </w:rPr>
              <w:t>.无会议记录的，不符合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三、</w:t>
            </w:r>
            <w:r>
              <w:rPr>
                <w:rFonts w:hint="default" w:ascii="Times New Roman" w:hAnsi="Times New Roman" w:eastAsia="宋体" w:cs="Times New Roman"/>
                <w:color w:val="auto"/>
                <w:kern w:val="0"/>
                <w:sz w:val="22"/>
                <w:szCs w:val="22"/>
                <w:lang w:val="en-US" w:eastAsia="zh-CN" w:bidi="ar"/>
              </w:rPr>
              <w:t xml:space="preserve"> 安全责任体系 </w:t>
            </w:r>
            <w:r>
              <w:rPr>
                <w:rFonts w:hint="eastAsia" w:ascii="Times New Roman" w:hAnsi="Times New Roman" w:eastAsia="宋体" w:cs="Times New Roman"/>
                <w:color w:val="auto"/>
                <w:kern w:val="0"/>
                <w:sz w:val="22"/>
                <w:szCs w:val="22"/>
                <w:lang w:val="en-US" w:eastAsia="zh-CN" w:bidi="ar"/>
              </w:rPr>
              <w:t>60</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3.1 健全责任制</w:t>
            </w:r>
            <w:r>
              <w:rPr>
                <w:rFonts w:hint="eastAsia" w:ascii="Times New Roman" w:hAnsi="Times New Roman" w:eastAsia="宋体" w:cs="Times New Roman"/>
                <w:color w:val="auto"/>
                <w:kern w:val="0"/>
                <w:sz w:val="22"/>
                <w:szCs w:val="22"/>
                <w:lang w:val="en-US" w:eastAsia="zh-CN" w:bidi="ar"/>
              </w:rPr>
              <w:t>（4</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sz w:val="22"/>
                <w:szCs w:val="22"/>
              </w:rPr>
              <w:t>企业应建立安全生产责任制，明确安全生产委员会（或安全生产领导小组）、安全生产管理机构、各职能部门、</w:t>
            </w:r>
            <w:r>
              <w:rPr>
                <w:rFonts w:hint="default" w:ascii="Times New Roman" w:hAnsi="Times New Roman" w:eastAsia="宋体" w:cs="Times New Roman"/>
                <w:color w:val="auto"/>
                <w:sz w:val="22"/>
                <w:szCs w:val="22"/>
                <w:lang w:val="en-US" w:eastAsia="zh-CN"/>
              </w:rPr>
              <w:t>各岗位</w:t>
            </w:r>
            <w:r>
              <w:rPr>
                <w:rFonts w:hint="default" w:ascii="Times New Roman" w:hAnsi="Times New Roman" w:eastAsia="宋体" w:cs="Times New Roman"/>
                <w:color w:val="auto"/>
                <w:sz w:val="22"/>
                <w:szCs w:val="22"/>
              </w:rPr>
              <w:t>的安全生产职责，层层签订安全生产责任书</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rPr>
              <w:t>安全生产法</w:t>
            </w:r>
            <w:r>
              <w:rPr>
                <w:rFonts w:hint="eastAsia" w:ascii="Times New Roman" w:hAnsi="Times New Roman" w:eastAsia="宋体" w:cs="Times New Roman"/>
                <w:color w:val="auto"/>
                <w:sz w:val="22"/>
                <w:szCs w:val="22"/>
                <w:lang w:val="en-US" w:eastAsia="zh-CN"/>
              </w:rPr>
              <w:t>》</w:t>
            </w:r>
            <w:r>
              <w:rPr>
                <w:rFonts w:hint="eastAsia" w:ascii="Times New Roman" w:hAnsi="Times New Roman" w:eastAsia="宋体" w:cs="Times New Roman"/>
                <w:color w:val="auto"/>
                <w:sz w:val="22"/>
                <w:szCs w:val="22"/>
              </w:rPr>
              <w:t>第四条规定</w:t>
            </w:r>
            <w:r>
              <w:rPr>
                <w:rFonts w:hint="eastAsia" w:ascii="Times New Roman" w:hAnsi="Times New Roman" w:eastAsia="宋体" w:cs="Times New Roman"/>
                <w:color w:val="auto"/>
                <w:sz w:val="22"/>
                <w:szCs w:val="22"/>
                <w:lang w:eastAsia="zh-CN"/>
              </w:rPr>
              <w:t>“</w:t>
            </w:r>
            <w:r>
              <w:rPr>
                <w:rFonts w:hint="eastAsia" w:ascii="Times New Roman" w:hAnsi="Times New Roman" w:eastAsia="宋体" w:cs="Times New Roman"/>
                <w:color w:val="auto"/>
                <w:sz w:val="22"/>
                <w:szCs w:val="22"/>
              </w:rPr>
              <w:t>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r>
              <w:rPr>
                <w:rFonts w:hint="eastAsia" w:ascii="Times New Roman" w:hAnsi="Times New Roman" w:eastAsia="宋体" w:cs="Times New Roman"/>
                <w:color w:val="auto"/>
                <w:sz w:val="22"/>
                <w:szCs w:val="22"/>
                <w:lang w:eastAsia="zh-CN"/>
              </w:rPr>
              <w:t>”</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sz w:val="22"/>
                <w:szCs w:val="22"/>
              </w:rPr>
              <w:t>未制定安全生产管理部门和岗位职责，</w:t>
            </w:r>
            <w:r>
              <w:rPr>
                <w:rFonts w:hint="eastAsia" w:ascii="Times New Roman" w:hAnsi="Times New Roman" w:eastAsia="宋体" w:cs="Times New Roman"/>
                <w:color w:val="auto"/>
                <w:sz w:val="22"/>
                <w:szCs w:val="22"/>
                <w:lang w:eastAsia="zh-CN"/>
              </w:rPr>
              <w:t>不符合</w:t>
            </w:r>
            <w:r>
              <w:rPr>
                <w:rFonts w:hint="default" w:ascii="Times New Roman" w:hAnsi="Times New Roman" w:eastAsia="宋体" w:cs="Times New Roman"/>
                <w:color w:val="auto"/>
                <w:sz w:val="22"/>
                <w:szCs w:val="22"/>
              </w:rPr>
              <w:t>；</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auto"/>
                <w:sz w:val="22"/>
                <w:szCs w:val="22"/>
              </w:rPr>
              <w:t>未签订安全生产责任书，</w:t>
            </w:r>
            <w:r>
              <w:rPr>
                <w:rFonts w:hint="eastAsia" w:ascii="Times New Roman" w:hAnsi="Times New Roman" w:eastAsia="宋体" w:cs="Times New Roman"/>
                <w:color w:val="auto"/>
                <w:sz w:val="22"/>
                <w:szCs w:val="22"/>
                <w:lang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企业主要负责人或实际控制人是本企业安全生产第一责任人，对本企业安全生产工作全面负责，负全面组织领导、管理责任和法律责任，并履行安全生产的责任和义务</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企业安全生产第一责任人为</w:t>
            </w:r>
            <w:r>
              <w:rPr>
                <w:rFonts w:hint="eastAsia" w:ascii="Times New Roman" w:hAnsi="Times New Roman" w:eastAsia="宋体" w:cs="Times New Roman"/>
                <w:color w:val="auto"/>
                <w:kern w:val="0"/>
                <w:sz w:val="22"/>
                <w:szCs w:val="22"/>
                <w:lang w:val="en-US" w:eastAsia="zh-CN" w:bidi="ar"/>
              </w:rPr>
              <w:t>实际控制人，一般为</w:t>
            </w:r>
            <w:r>
              <w:rPr>
                <w:rFonts w:hint="default" w:ascii="Times New Roman" w:hAnsi="Times New Roman" w:eastAsia="宋体" w:cs="Times New Roman"/>
                <w:color w:val="auto"/>
                <w:kern w:val="0"/>
                <w:sz w:val="22"/>
                <w:szCs w:val="22"/>
                <w:lang w:val="en-US" w:eastAsia="zh-CN" w:bidi="ar"/>
              </w:rPr>
              <w:t>企业总经理或总裁，根据安全生产法相关规定，生产经营单位的主要负责人对本单位的安全生产工作全面负责。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（一）建立健全并落实本单位全员安全生产责任制，加强安全生产标准化建设；</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（二）组织制定并实施本单位安全生产规章制度和操作规程；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（三）组织制定并实施本单位安全生产教育和培训计划；</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（四）保证本单位安全生产投入的有效实施；</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（六）组织制定并实施本单位的生产安全事故应急救援预案；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（七）及时、如实报告生产安全事故</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企业安全生产第一责任人职责</w:t>
            </w:r>
            <w:r>
              <w:rPr>
                <w:rFonts w:hint="eastAsia" w:ascii="Times New Roman" w:hAnsi="Times New Roman" w:eastAsia="宋体" w:cs="Times New Roman"/>
                <w:color w:val="auto"/>
                <w:kern w:val="0"/>
                <w:sz w:val="22"/>
                <w:szCs w:val="22"/>
                <w:lang w:val="en-US" w:eastAsia="zh-CN" w:bidi="ar"/>
              </w:rPr>
              <w:t>不</w:t>
            </w:r>
            <w:r>
              <w:rPr>
                <w:rFonts w:hint="default" w:ascii="Times New Roman" w:hAnsi="Times New Roman" w:eastAsia="宋体" w:cs="Times New Roman"/>
                <w:color w:val="auto"/>
                <w:kern w:val="0"/>
                <w:sz w:val="22"/>
                <w:szCs w:val="22"/>
                <w:lang w:val="en-US" w:eastAsia="zh-CN" w:bidi="ar"/>
              </w:rPr>
              <w:t>符合法规要求</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2.企业安全生产第一责任人</w:t>
            </w:r>
            <w:r>
              <w:rPr>
                <w:rFonts w:hint="eastAsia" w:ascii="Times New Roman" w:hAnsi="Times New Roman" w:eastAsia="宋体" w:cs="Times New Roman"/>
                <w:color w:val="auto"/>
                <w:kern w:val="0"/>
                <w:sz w:val="22"/>
                <w:szCs w:val="22"/>
                <w:lang w:val="en-US" w:eastAsia="zh-CN" w:bidi="ar"/>
              </w:rPr>
              <w:t>不</w:t>
            </w:r>
            <w:r>
              <w:rPr>
                <w:rFonts w:hint="default" w:ascii="Times New Roman" w:hAnsi="Times New Roman" w:eastAsia="宋体" w:cs="Times New Roman"/>
                <w:color w:val="auto"/>
                <w:kern w:val="0"/>
                <w:sz w:val="22"/>
                <w:szCs w:val="22"/>
                <w:lang w:val="en-US" w:eastAsia="zh-CN" w:bidi="ar"/>
              </w:rPr>
              <w:t>熟知其安全责任</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3.2 责任制考评</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企业应根据安全生产责任进行定期考核和奖惩，并公布考评结果和奖惩情况</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第二十二条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生产经营单位的全员安全生产责任制应当明确各岗位的责任人员、责任范围和考核标准等内容。</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生产经营单位应当建立相应的机制，加强对全员安全生产责任制落实情况的监督考核，保证全员安全生产责任制的落实</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0</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未全面开展安全生产责任制考核</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2.未依据安全生产责任制考核结果进行奖惩</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未公布安全生产责任制考核结果和奖惩情况</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669" w:hRule="atLeast"/>
        </w:trPr>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四、</w:t>
            </w:r>
            <w:r>
              <w:rPr>
                <w:rFonts w:hint="default" w:ascii="Times New Roman" w:hAnsi="Times New Roman" w:eastAsia="宋体" w:cs="Times New Roman"/>
                <w:color w:val="auto"/>
                <w:kern w:val="0"/>
                <w:sz w:val="22"/>
                <w:szCs w:val="22"/>
                <w:lang w:val="en-US" w:eastAsia="zh-CN" w:bidi="ar"/>
              </w:rPr>
              <w:t xml:space="preserve">法规和安全管理制度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4.1 资质</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宋体" w:hAnsi="宋体" w:eastAsia="宋体" w:cs="宋体"/>
                <w:color w:val="000000"/>
                <w:spacing w:val="0"/>
                <w:w w:val="100"/>
                <w:position w:val="0"/>
                <w:sz w:val="21"/>
                <w:szCs w:val="21"/>
              </w:rPr>
              <w:t>企业的《企业法人营业执照》资质证书应合法有效，经营范围应符合要求。企业应取得高速公路运营管理资格，且营运管理的高速公路应在国家规定的营运期限内</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87" w:lineRule="exact"/>
              <w:ind w:left="0" w:right="0"/>
              <w:jc w:val="both"/>
              <w:rPr>
                <w:rFonts w:hint="eastAsia" w:ascii="宋体" w:hAnsi="宋体" w:eastAsia="宋体" w:cs="宋体"/>
                <w:sz w:val="21"/>
                <w:szCs w:val="21"/>
                <w:lang w:eastAsia="zh-CN"/>
              </w:rPr>
            </w:pPr>
            <w:r>
              <w:rPr>
                <w:rFonts w:hint="eastAsia" w:ascii="宋体" w:hAnsi="宋体" w:eastAsia="宋体" w:cs="宋体"/>
                <w:color w:val="000000"/>
                <w:spacing w:val="0"/>
                <w:w w:val="100"/>
                <w:position w:val="0"/>
                <w:sz w:val="21"/>
                <w:szCs w:val="21"/>
              </w:rPr>
              <w:t>企业应按照《中华人民共和国公司登记管理条例》管辖规定开展工商登记;各类资质证书中的名称、法人等一致;并处于有效期内;按照规定通过年度审验</w:t>
            </w:r>
            <w:r>
              <w:rPr>
                <w:rFonts w:hint="eastAsia" w:cs="宋体"/>
                <w:color w:val="000000"/>
                <w:spacing w:val="0"/>
                <w:w w:val="100"/>
                <w:position w:val="0"/>
                <w:sz w:val="21"/>
                <w:szCs w:val="21"/>
                <w:lang w:eastAsia="zh-CN"/>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企业应在核准的工商登记和资质许可范围开展合法的经营活动</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《企业法人营业执照》失效、企业名称不一致、经营范围与实际业务不相符</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lang w:val="en-US"/>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企业未取得高速公路运营管理资格，或超出营运期限，不符合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4.2 法律法规与标准规范</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企业应制定及时识别、获取适用的安全生产法律法规、规范标准及其他要求的管理制度，明确责任部门，建立清单和文本（或电子）档案，并定期发布</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10</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未建立识别和获取适用的安全生产法律法规、标准规范的管理制度，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未建立已辨识的法律法规清单文本数据库，</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3.已辨识的法律法规存在失效、不适用的，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4.3 安全生产管理制度</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宋体" w:hAnsi="宋体" w:eastAsia="宋体" w:cs="宋体"/>
                <w:color w:val="000000"/>
                <w:spacing w:val="0"/>
                <w:w w:val="100"/>
                <w:position w:val="0"/>
                <w:sz w:val="21"/>
                <w:szCs w:val="21"/>
              </w:rPr>
              <w:t>企业应制定安全管理制度，至少应包括:安全生产责任制、安全生产例会制度、安全生产费用管理制度、安全台账管理制度、事故隐患排</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治理制度、安全生产教育培训制度、安全生产检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制度、事故统计报吿制度、安全生产考核奖惩制度、设备设施安全管理制度、劳动保护用品管理制度、建设项目安全设施</w:t>
            </w:r>
            <w:r>
              <w:rPr>
                <w:rFonts w:hint="eastAsia" w:ascii="宋体" w:hAnsi="宋体" w:eastAsia="宋体" w:cs="宋体"/>
                <w:color w:val="000000"/>
                <w:spacing w:val="0"/>
                <w:w w:val="100"/>
                <w:position w:val="0"/>
                <w:sz w:val="21"/>
                <w:szCs w:val="21"/>
                <w:lang w:val="zh-CN" w:eastAsia="zh-CN" w:bidi="zh-CN"/>
              </w:rPr>
              <w:t>“三</w:t>
            </w:r>
            <w:r>
              <w:rPr>
                <w:rFonts w:hint="eastAsia" w:ascii="宋体" w:hAnsi="宋体" w:eastAsia="宋体" w:cs="宋体"/>
                <w:color w:val="000000"/>
                <w:spacing w:val="0"/>
                <w:w w:val="100"/>
                <w:position w:val="0"/>
                <w:sz w:val="21"/>
                <w:szCs w:val="21"/>
              </w:rPr>
              <w:t>同时</w:t>
            </w:r>
            <w:r>
              <w:rPr>
                <w:rFonts w:hint="eastAsia" w:ascii="宋体" w:hAnsi="宋体" w:eastAsia="宋体" w:cs="宋体"/>
                <w:color w:val="000000"/>
                <w:spacing w:val="0"/>
                <w:w w:val="100"/>
                <w:position w:val="0"/>
                <w:sz w:val="21"/>
                <w:szCs w:val="21"/>
                <w:lang w:val="zh-CN" w:eastAsia="zh-CN" w:bidi="zh-CN"/>
              </w:rPr>
              <w:t>”管理</w:t>
            </w:r>
            <w:r>
              <w:rPr>
                <w:rFonts w:hint="eastAsia" w:ascii="宋体" w:hAnsi="宋体" w:eastAsia="宋体" w:cs="宋体"/>
                <w:color w:val="000000"/>
                <w:spacing w:val="0"/>
                <w:w w:val="100"/>
                <w:position w:val="0"/>
                <w:sz w:val="21"/>
                <w:szCs w:val="21"/>
              </w:rPr>
              <w:t>制度、特种作业人员管理制度、危险作业安全管理制度、相关方安全生产监督管理制度、风险管理制度、职业健康管理制度等</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企业是安全生产的责任主体，建立健全安全管理制度是企业的法定责任，是规范从业人员的生产作业行为，保证生产经营活动安全、顺利进行的重要手段。《中华人民共和国安全生产法》规定:企业应制定健全的安全生产管理制度，规范从业人员的安全行为，并将制度发放到有关的工作岗位</w:t>
            </w:r>
            <w:r>
              <w:rPr>
                <w:rFonts w:hint="eastAsia" w:ascii="Times New Roman" w:hAnsi="Times New Roman" w:eastAsia="宋体" w:cs="Times New Roman"/>
                <w:color w:val="auto"/>
                <w:kern w:val="0"/>
                <w:sz w:val="22"/>
                <w:szCs w:val="22"/>
                <w:lang w:val="en-US" w:eastAsia="zh-CN" w:bidi="ar"/>
              </w:rPr>
              <w:t>。</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未正式发布的，</w:t>
            </w: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strike w:val="0"/>
                <w:dstrike w:val="0"/>
                <w:color w:val="auto"/>
                <w:kern w:val="0"/>
                <w:sz w:val="22"/>
                <w:szCs w:val="22"/>
                <w:highlight w:val="none"/>
                <w:lang w:val="en-US" w:eastAsia="zh-Hans" w:bidi="ar"/>
              </w:rPr>
            </w:pPr>
            <w:r>
              <w:rPr>
                <w:rFonts w:hint="eastAsia"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2.</w:t>
            </w:r>
            <w:r>
              <w:rPr>
                <w:rFonts w:hint="default" w:ascii="Times New Roman" w:hAnsi="Times New Roman" w:eastAsia="宋体" w:cs="Times New Roman"/>
                <w:strike w:val="0"/>
                <w:dstrike w:val="0"/>
                <w:color w:val="000000" w:themeColor="text1"/>
                <w:kern w:val="0"/>
                <w:sz w:val="22"/>
                <w:szCs w:val="22"/>
                <w:highlight w:val="none"/>
                <w:lang w:val="en-US" w:eastAsia="zh-CN" w:bidi="ar"/>
                <w14:textFill>
                  <w14:solidFill>
                    <w14:schemeClr w14:val="tx1"/>
                  </w14:solidFill>
                </w14:textFill>
              </w:rPr>
              <w:t>制度内容</w:t>
            </w:r>
            <w:r>
              <w:rPr>
                <w:rFonts w:hint="default" w:ascii="Times New Roman" w:hAnsi="Times New Roman" w:eastAsia="宋体" w:cs="Times New Roman"/>
                <w:strike w:val="0"/>
                <w:dstrike w:val="0"/>
                <w:color w:val="auto"/>
                <w:kern w:val="0"/>
                <w:sz w:val="22"/>
                <w:szCs w:val="22"/>
                <w:highlight w:val="none"/>
                <w:lang w:val="en-US" w:eastAsia="zh-CN" w:bidi="ar"/>
              </w:rPr>
              <w:t>不符合规定或与实际不符的，</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strike w:val="0"/>
                <w:dstrike w:val="0"/>
                <w:color w:val="auto"/>
                <w:kern w:val="0"/>
                <w:sz w:val="22"/>
                <w:szCs w:val="22"/>
                <w:highlight w:val="none"/>
                <w:lang w:val="en-US" w:eastAsia="zh-CN" w:bidi="ar"/>
              </w:rPr>
              <w:t>3.缺少相应的安全生产管理制度</w:t>
            </w:r>
            <w:r>
              <w:rPr>
                <w:rFonts w:hint="default" w:ascii="Times New Roman" w:hAnsi="Times New Roman" w:eastAsia="宋体" w:cs="Times New Roman"/>
                <w:strike w:val="0"/>
                <w:dstrike w:val="0"/>
                <w:color w:val="auto"/>
                <w:kern w:val="0"/>
                <w:sz w:val="22"/>
                <w:szCs w:val="22"/>
                <w:highlight w:val="none"/>
                <w:lang w:val="en-US" w:eastAsia="zh-CN" w:bidi="ar"/>
              </w:rPr>
              <w:t>，</w:t>
            </w:r>
            <w:r>
              <w:rPr>
                <w:rFonts w:hint="eastAsia" w:ascii="Times New Roman" w:hAnsi="Times New Roman" w:eastAsia="宋体" w:cs="Times New Roman"/>
                <w:strike w:val="0"/>
                <w:dstrike w:val="0"/>
                <w:color w:val="auto"/>
                <w:kern w:val="0"/>
                <w:sz w:val="22"/>
                <w:szCs w:val="22"/>
                <w:highlight w:val="none"/>
                <w:lang w:val="en-US" w:eastAsia="zh-Hans" w:bidi="ar"/>
              </w:rPr>
              <w:t>不符合</w:t>
            </w:r>
            <w:r>
              <w:rPr>
                <w:rFonts w:hint="default" w:ascii="Times New Roman" w:hAnsi="Times New Roman" w:eastAsia="宋体" w:cs="Times New Roman"/>
                <w:strike w:val="0"/>
                <w:dstrike w:val="0"/>
                <w:color w:val="auto"/>
                <w:kern w:val="0"/>
                <w:sz w:val="22"/>
                <w:szCs w:val="22"/>
                <w:highlight w:val="none"/>
                <w:lang w:eastAsia="zh-Hans" w:bidi="ar"/>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企业应将安全生产管理制度发放到有关的工作岗位</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bCs/>
                <w:sz w:val="22"/>
                <w:szCs w:val="22"/>
              </w:rPr>
              <w:t>企业安全生产管理制度发布后，应针对管理制度内容对从业人员进行培训，使从业人员了解管理制度内容和要求，以便于安全管理制度的有效实施和落实</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无安全生产管理制度发放和组织学习培训记录，</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4.4 岗位安全生产操作规程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eastAsia" w:ascii="宋体" w:hAnsi="宋体" w:eastAsia="宋体" w:cs="宋体"/>
                <w:color w:val="000000"/>
                <w:spacing w:val="0"/>
                <w:w w:val="100"/>
                <w:position w:val="0"/>
                <w:sz w:val="21"/>
                <w:szCs w:val="21"/>
              </w:rPr>
              <w:t>企业应制定各岗位操作规程，操作规程应满足国家和行业相关标准规范的要求</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宋体" w:hAnsi="宋体" w:eastAsia="宋体" w:cs="宋体"/>
                <w:color w:val="000000"/>
                <w:spacing w:val="0"/>
                <w:w w:val="100"/>
                <w:position w:val="0"/>
                <w:sz w:val="21"/>
                <w:szCs w:val="21"/>
              </w:rPr>
              <w:t>企业应根据生产特点，组织制定岗位安全操作规程,发放到相关岗位，保证其有效实施。操作规程中应明确:操作前的检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及准备工作的程序和方法;操作中严禁的行为;必需的操作步骤和操作方法;操作注意事项;正确使用劳动防护用品的要求;出现异常情况时的应急措施</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未正式发布的操作规程，</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4.5 修订</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企业应定期对安全管理制度和操作规程进行评审，并根据评审结论及时进行修订，确保其有效性、适应性和符合性</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在发生以下情况时，应及时对相关的管理制度或操作规程进行评审、修订：</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国家相关法律、法规、规程、标准废止、修订或新颁布；</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企业归属、体制、规模发生重大变化；</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生产设施新建、改建、扩建规模、作业环境已发生重大改变；</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设备设施发生变更；</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作业工艺、危险有害特性发生变化；</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政府相关行政部门提出整改意见；</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安全评价、风险评估、体系认证、分析事故原因、安全检查发现涉及规章制度、操作规程的问题；</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280" w:lineRule="exact"/>
              <w:ind w:left="0" w:leftChars="0" w:firstLine="0" w:firstLineChars="0"/>
              <w:jc w:val="left"/>
              <w:textAlignment w:val="auto"/>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其他相关事项</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未对管理制度、操作规程定期进行有效性、符合性评审，导致不满足法律法规要求的，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未及时开展修订，</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五、</w:t>
            </w:r>
            <w:r>
              <w:rPr>
                <w:rFonts w:hint="default" w:ascii="Times New Roman" w:hAnsi="Times New Roman" w:eastAsia="宋体" w:cs="Times New Roman"/>
                <w:color w:val="auto"/>
                <w:kern w:val="0"/>
                <w:sz w:val="22"/>
                <w:szCs w:val="22"/>
                <w:lang w:val="en-US" w:eastAsia="zh-CN" w:bidi="ar"/>
              </w:rPr>
              <w:t xml:space="preserve"> 安全投入 3</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5.1 资金投入</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企业应按规定足额提取（列支）安全生产费用</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有关生产经营单位应当按照规定提取和使用安全生产费用，专门用于改善安全生产条件。安全生产费用在成本中据实列支。</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2.按</w:t>
            </w:r>
            <w:r>
              <w:rPr>
                <w:rFonts w:hint="default" w:ascii="Times New Roman" w:hAnsi="Times New Roman" w:eastAsia="宋体" w:cs="Times New Roman"/>
                <w:color w:val="auto"/>
                <w:kern w:val="0"/>
                <w:sz w:val="22"/>
                <w:szCs w:val="22"/>
                <w:lang w:val="en-US" w:eastAsia="zh-CN" w:bidi="ar"/>
              </w:rPr>
              <w:t>《企业安全生产费用提取和使用管理办法》</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财资[2022]136</w:t>
            </w:r>
            <w:r>
              <w:rPr>
                <w:rFonts w:hint="eastAsia" w:ascii="Times New Roman" w:hAnsi="Times New Roman" w:eastAsia="宋体" w:cs="Times New Roman"/>
                <w:color w:val="auto"/>
                <w:kern w:val="0"/>
                <w:sz w:val="22"/>
                <w:szCs w:val="22"/>
                <w:lang w:val="en-US" w:eastAsia="zh-CN" w:bidi="ar"/>
              </w:rPr>
              <w:t>号）的规定提取和使用安全生产费用</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未制定安全生产费用提取、使用和监督管理制度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未按规定提取安全生产费用</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5.2 费用管理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企业建立安全费用使用台账</w:t>
            </w:r>
            <w:r>
              <w:rPr>
                <w:rFonts w:hint="eastAsia" w:ascii="Times New Roman" w:hAnsi="Times New Roman" w:eastAsia="宋体" w:cs="Times New Roman"/>
                <w:color w:val="auto"/>
                <w:kern w:val="0"/>
                <w:sz w:val="22"/>
                <w:szCs w:val="22"/>
                <w:lang w:val="en-US" w:eastAsia="zh-CN" w:bidi="ar"/>
              </w:rPr>
              <w:t>，实行专款专用</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按</w:t>
            </w:r>
            <w:r>
              <w:rPr>
                <w:rFonts w:hint="default"/>
                <w:lang w:val="en-US" w:eastAsia="zh-CN"/>
              </w:rPr>
              <w:t>《企业安全生产费用提取和使用管理办法》</w:t>
            </w:r>
            <w:r>
              <w:rPr>
                <w:rFonts w:hint="eastAsia"/>
                <w:lang w:val="en-US" w:eastAsia="zh-CN"/>
              </w:rPr>
              <w:t>（</w:t>
            </w:r>
            <w:r>
              <w:rPr>
                <w:rFonts w:hint="default"/>
                <w:lang w:val="en-US" w:eastAsia="zh-CN"/>
              </w:rPr>
              <w:t>财资[2022]136</w:t>
            </w:r>
            <w:r>
              <w:rPr>
                <w:rFonts w:hint="eastAsia"/>
                <w:lang w:val="en-US" w:eastAsia="zh-CN"/>
              </w:rPr>
              <w:t>号）的</w:t>
            </w:r>
            <w:r>
              <w:rPr>
                <w:rFonts w:hint="default"/>
                <w:lang w:val="en-US" w:eastAsia="zh-CN"/>
              </w:rPr>
              <w:t>规定</w:t>
            </w:r>
            <w:r>
              <w:rPr>
                <w:rFonts w:hint="eastAsia"/>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第五条 企业安全生产费用可由企业用于以下范围的支出：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一）购置购建、更新改造、检测检验、检定校准、运行维护安全防护和紧急避险设施、设备支出[不含按照“建设项目安全设施必须与主体工程同时设计、同时施工、同时投入生产和使用”（以下简称“三同时”）规定投入的安全设施、设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（二）购置、开发、推广应用、更新升级、运行维护安全生产信息系统、软件、网络安全、技术支出；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（三）配备、更新、维护、保养安全防护用品和应急救援器材、设备支出；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（四）企业应急救援队伍建设（含建设应急救援队伍所需应急救援物资储备、人员培训等方面）、安全生产宣传教育培训、从业人员发现报告事故隐患的奖励支出；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（五）安全生产责任保险、承运人责任险等与安全生产直接相关的法定保险支出；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（六）安全生产检查检测、评估评价（不含新建、改建、扩建项目安全评价）、评审、咨询、标准化建设、应急预案制修订、应急演练支出；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（七）与安全生产直接相关的其他支出。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lang w:val="en-US" w:eastAsia="zh-CN"/>
              </w:rPr>
            </w:pPr>
            <w:r>
              <w:rPr>
                <w:rFonts w:hint="eastAsia" w:ascii="Times New Roman" w:hAnsi="Times New Roman" w:eastAsia="宋体" w:cs="Times New Roman"/>
                <w:color w:val="auto"/>
                <w:kern w:val="0"/>
                <w:sz w:val="22"/>
                <w:szCs w:val="22"/>
                <w:lang w:val="en-US" w:eastAsia="zh-CN" w:bidi="ar"/>
              </w:rPr>
              <w:t>企业应当加强安全生产费用管理，编制年度企业安全生产费用提取和使用计划，纳入企业财务预算，确保资金投入。</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无安全生产经费使用台账，</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未实行专款专用，不符合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六、</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设备</w:t>
            </w:r>
            <w:r>
              <w:rPr>
                <w:rFonts w:hint="default" w:ascii="Times New Roman" w:hAnsi="Times New Roman" w:eastAsia="宋体" w:cs="Times New Roman"/>
                <w:color w:val="auto"/>
                <w:kern w:val="0"/>
                <w:sz w:val="22"/>
                <w:szCs w:val="22"/>
                <w:lang w:val="en-US" w:eastAsia="zh-CN" w:bidi="ar"/>
              </w:rPr>
              <w:t xml:space="preserve">设施 </w:t>
            </w:r>
            <w:r>
              <w:rPr>
                <w:rFonts w:hint="eastAsia" w:ascii="Times New Roman" w:hAnsi="Times New Roman" w:eastAsia="宋体" w:cs="Times New Roman"/>
                <w:color w:val="auto"/>
                <w:kern w:val="0"/>
                <w:sz w:val="22"/>
                <w:szCs w:val="22"/>
                <w:lang w:val="en-US" w:eastAsia="zh-CN" w:bidi="ar"/>
              </w:rPr>
              <w:t>130</w:t>
            </w:r>
            <w:r>
              <w:rPr>
                <w:rFonts w:hint="default" w:ascii="Times New Roman" w:hAnsi="Times New Roman" w:eastAsia="宋体" w:cs="Times New Roman"/>
                <w:color w:val="auto"/>
                <w:kern w:val="0"/>
                <w:sz w:val="22"/>
                <w:szCs w:val="22"/>
                <w:lang w:val="en-US" w:eastAsia="zh-CN" w:bidi="ar"/>
              </w:rPr>
              <w:t>分</w:t>
            </w: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6.1</w:t>
            </w:r>
            <w:r>
              <w:rPr>
                <w:rFonts w:hint="eastAsia" w:ascii="Times New Roman" w:hAnsi="Times New Roman" w:eastAsia="宋体" w:cs="Times New Roman"/>
                <w:color w:val="auto"/>
                <w:kern w:val="0"/>
                <w:sz w:val="22"/>
                <w:szCs w:val="22"/>
                <w:lang w:val="en-US" w:eastAsia="zh-CN" w:bidi="ar"/>
              </w:rPr>
              <w:t>基础设施（50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宋体" w:hAnsi="宋体" w:eastAsia="宋体" w:cs="宋体"/>
                <w:color w:val="000000"/>
                <w:spacing w:val="0"/>
                <w:w w:val="100"/>
                <w:position w:val="0"/>
                <w:sz w:val="21"/>
                <w:szCs w:val="21"/>
              </w:rPr>
              <w:t>路基、路面、桥涵、隧道、高边坡等高速公路基础设施应符合设计和规范要求，按规定进行巡检和养护，使其处于良好技术状态</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1.《中华人民共和国公路法》第三十三条规定：公路建设项目和公路修复项目竣工后，应当按照国家有关规定进行验收;未经验收或者验收不合格的，不得交付使用；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strike w:val="0"/>
                <w:dstrike w:val="0"/>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2.高速公路路基、路面、桥涵、隧道、高边坡等设施应符合设计、规范要求，并通过竣（交）工验收合格，才能交付使用；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lang w:val="en-US" w:eastAsia="zh-CN" w:bidi="ar"/>
              </w:rPr>
              <w:t>3.高速公路运营单位应依养护技术规范制定巡检和养护管理制度，按规定进行巡检和养护，保证公路处于良好技术状态</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50</w:t>
            </w:r>
          </w:p>
        </w:tc>
        <w:tc>
          <w:tcPr>
            <w:tcW w:w="2542" w:type="dxa"/>
            <w:tcBorders>
              <w:tl2br w:val="nil"/>
              <w:tr2bl w:val="nil"/>
            </w:tcBorders>
            <w:shd w:val="clear" w:color="auto" w:fill="auto"/>
            <w:tcMar>
              <w:top w:w="75" w:type="dxa"/>
              <w:left w:w="90" w:type="dxa"/>
              <w:bottom w:w="75" w:type="dxa"/>
              <w:right w:w="90" w:type="dxa"/>
            </w:tcMar>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1.未竣工验收或竣工验收不合格，就交付使用的，不得分；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2.公路技术状况综合评定值应≥90,指数每降低1,扣2分;90＞指数≥</w:t>
            </w:r>
            <w:r>
              <w:rPr>
                <w:rFonts w:hint="eastAsia"/>
                <w:lang w:val="en-US" w:eastAsia="en-US"/>
              </w:rPr>
              <w:t>80</w:t>
            </w:r>
            <w:r>
              <w:rPr>
                <w:rFonts w:hint="eastAsia"/>
                <w:lang w:val="en-US" w:eastAsia="zh-CN"/>
              </w:rPr>
              <w:t>而未及时采取有效措施的，不得分；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3.未建立路基、路面、桥涵、隧道、高边坡等基础设施管理制度，扣5分;管理制度不符合规范要求，每发现一处扣0.5分；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4.未按规定对巡检发现的隐患、病害及时养护处治或采取措施保证公路交通安全的，以公里为单位，每发现一处1分；</w:t>
            </w:r>
          </w:p>
          <w:p>
            <w:pPr>
              <w:pStyle w:val="2"/>
              <w:ind w:left="0" w:leftChars="0" w:firstLine="0" w:firstLineChars="0"/>
              <w:rPr>
                <w:rFonts w:hint="default"/>
                <w:lang w:val="en-US" w:eastAsia="zh-CN"/>
              </w:rPr>
            </w:pPr>
            <w:r>
              <w:rPr>
                <w:rFonts w:hint="eastAsia" w:hAnsi="Times New Roman" w:eastAsia="宋体" w:cs="Times New Roman"/>
                <w:color w:val="FF0000"/>
                <w:kern w:val="0"/>
                <w:sz w:val="22"/>
                <w:szCs w:val="22"/>
                <w:lang w:val="en-US" w:eastAsia="zh-CN" w:bidi="ar"/>
              </w:rPr>
              <w:t>此项可出现负分，在总分中扣除。</w:t>
            </w:r>
          </w:p>
        </w:tc>
        <w:tc>
          <w:tcPr>
            <w:tcW w:w="1392" w:type="dxa"/>
            <w:tcBorders>
              <w:tl2br w:val="nil"/>
              <w:tr2bl w:val="nil"/>
            </w:tcBorders>
            <w:shd w:val="clear" w:color="auto" w:fill="auto"/>
            <w:tcMar>
              <w:top w:w="75" w:type="dxa"/>
              <w:left w:w="90" w:type="dxa"/>
              <w:bottom w:w="75" w:type="dxa"/>
              <w:right w:w="90" w:type="dxa"/>
            </w:tcMar>
            <w:vAlign w:val="top"/>
          </w:tcPr>
          <w:p>
            <w:pPr>
              <w:pStyle w:val="2"/>
              <w:ind w:left="0" w:leftChars="0" w:firstLine="0" w:firstLineChars="0"/>
              <w:rPr>
                <w:rFonts w:hint="eastAsia" w:hAnsi="Times New Roman" w:eastAsia="宋体" w:cs="Times New Roman"/>
                <w:color w:val="FF0000"/>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top"/>
          </w:tcPr>
          <w:p>
            <w:pPr>
              <w:pStyle w:val="2"/>
              <w:ind w:left="0" w:leftChars="0" w:firstLine="0" w:firstLineChars="0"/>
              <w:rPr>
                <w:rFonts w:hint="eastAsia" w:hAnsi="Times New Roman" w:eastAsia="宋体" w:cs="Times New Roman"/>
                <w:color w:val="FF0000"/>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6.2</w:t>
            </w:r>
            <w:r>
              <w:rPr>
                <w:rFonts w:hint="eastAsia" w:ascii="宋体" w:hAnsi="宋体" w:eastAsia="宋体" w:cs="宋体"/>
                <w:color w:val="000000"/>
                <w:spacing w:val="0"/>
                <w:w w:val="100"/>
                <w:position w:val="0"/>
                <w:sz w:val="21"/>
                <w:szCs w:val="21"/>
              </w:rPr>
              <w:t>交通安全设施</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（30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宋体" w:hAnsi="宋体" w:eastAsia="宋体" w:cs="宋体"/>
                <w:color w:val="000000"/>
                <w:spacing w:val="0"/>
                <w:w w:val="100"/>
                <w:position w:val="0"/>
                <w:sz w:val="21"/>
                <w:szCs w:val="21"/>
              </w:rPr>
              <w:t>护栏、标志标线、隔离栅、防落网、防眩板等交通安全设施应符合设计和规范要求，按规定进行检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、维修，使其保持完整、齐全和良好的工作状态。对设施的检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、维护等均应建立台账，规范管理</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交通安全设施应通过竣（交）工验收后投入使用；</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依据相关规范，高速公路护栏、标志标线、视线导标、隔离栅、防落网、中间带、连续设置中央分隔带护栏、防眩设施等交通安全设施应符合</w:t>
            </w:r>
            <w:r>
              <w:rPr>
                <w:rFonts w:hint="eastAsia" w:ascii="宋体" w:hAnsi="宋体" w:eastAsia="宋体" w:cs="宋体"/>
                <w:color w:val="000000"/>
                <w:spacing w:val="0"/>
                <w:w w:val="100"/>
                <w:position w:val="0"/>
                <w:sz w:val="21"/>
                <w:szCs w:val="21"/>
                <w:lang w:val="en-US" w:eastAsia="en-US"/>
              </w:rPr>
              <w:t>GB5768</w:t>
            </w:r>
            <w:r>
              <w:rPr>
                <w:rFonts w:hint="eastAsia" w:ascii="宋体" w:hAnsi="宋体" w:eastAsia="宋体" w:cs="宋体"/>
                <w:color w:val="000000"/>
                <w:spacing w:val="0"/>
                <w:w w:val="100"/>
                <w:position w:val="0"/>
                <w:sz w:val="21"/>
                <w:szCs w:val="21"/>
                <w:lang w:val="en-US" w:eastAsia="zh-CN"/>
              </w:rPr>
              <w:t>-</w:t>
            </w:r>
            <w:r>
              <w:rPr>
                <w:rFonts w:hint="eastAsia" w:ascii="宋体" w:hAnsi="宋体" w:eastAsia="宋体" w:cs="宋体"/>
                <w:color w:val="000000"/>
                <w:spacing w:val="0"/>
                <w:w w:val="100"/>
                <w:position w:val="0"/>
                <w:sz w:val="21"/>
                <w:szCs w:val="21"/>
                <w:lang w:val="en-US" w:eastAsia="en-US"/>
              </w:rPr>
              <w:t>2009</w:t>
            </w:r>
            <w:r>
              <w:rPr>
                <w:rFonts w:hint="eastAsia" w:ascii="宋体" w:hAnsi="宋体" w:eastAsia="宋体" w:cs="宋体"/>
                <w:color w:val="000000"/>
                <w:spacing w:val="0"/>
                <w:w w:val="100"/>
                <w:position w:val="0"/>
                <w:sz w:val="21"/>
                <w:szCs w:val="21"/>
              </w:rPr>
              <w:t>和</w:t>
            </w:r>
            <w:r>
              <w:rPr>
                <w:rFonts w:hint="eastAsia" w:ascii="宋体" w:hAnsi="宋体" w:eastAsia="宋体" w:cs="宋体"/>
                <w:color w:val="000000"/>
                <w:spacing w:val="0"/>
                <w:w w:val="100"/>
                <w:position w:val="0"/>
                <w:sz w:val="21"/>
                <w:szCs w:val="21"/>
                <w:lang w:val="en-US" w:eastAsia="en-US"/>
              </w:rPr>
              <w:t>JT/G</w:t>
            </w:r>
            <w:r>
              <w:rPr>
                <w:rFonts w:hint="eastAsia" w:ascii="宋体" w:hAnsi="宋体" w:eastAsia="宋体" w:cs="宋体"/>
                <w:color w:val="000000"/>
                <w:spacing w:val="0"/>
                <w:w w:val="100"/>
                <w:position w:val="0"/>
                <w:sz w:val="21"/>
                <w:szCs w:val="21"/>
                <w:lang w:val="en-US" w:eastAsia="zh-CN"/>
              </w:rPr>
              <w:t xml:space="preserve"> </w:t>
            </w:r>
            <w:r>
              <w:rPr>
                <w:rFonts w:hint="eastAsia" w:ascii="宋体" w:hAnsi="宋体" w:eastAsia="宋体" w:cs="宋体"/>
                <w:color w:val="000000"/>
                <w:spacing w:val="0"/>
                <w:w w:val="100"/>
                <w:position w:val="0"/>
                <w:sz w:val="21"/>
                <w:szCs w:val="21"/>
                <w:lang w:val="en-US" w:eastAsia="en-US"/>
              </w:rPr>
              <w:t>H30</w:t>
            </w:r>
            <w:r>
              <w:rPr>
                <w:rFonts w:hint="eastAsia" w:ascii="宋体" w:hAnsi="宋体" w:eastAsia="宋体" w:cs="宋体"/>
                <w:color w:val="000000"/>
                <w:spacing w:val="0"/>
                <w:w w:val="100"/>
                <w:position w:val="0"/>
                <w:sz w:val="21"/>
                <w:szCs w:val="21"/>
                <w:lang w:val="en-US" w:eastAsia="zh-CN"/>
              </w:rPr>
              <w:t>-</w:t>
            </w:r>
            <w:r>
              <w:rPr>
                <w:rFonts w:hint="eastAsia" w:ascii="宋体" w:hAnsi="宋体" w:eastAsia="宋体" w:cs="宋体"/>
                <w:color w:val="000000"/>
                <w:spacing w:val="0"/>
                <w:w w:val="100"/>
                <w:position w:val="0"/>
                <w:sz w:val="21"/>
                <w:szCs w:val="21"/>
              </w:rPr>
              <w:t>2015等设计和规范要求，应保持完整、齐全和良好的工作状态</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对设施的检</w:t>
            </w:r>
            <w:r>
              <w:rPr>
                <w:rFonts w:hint="eastAsia" w:ascii="宋体" w:hAnsi="宋体" w:eastAsia="宋体"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、维护等均应建立台账，规范管理</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30</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1.交通安全设施竣（交）工未验收或验收未合格的，就投入使用的，不得分；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2.未建立交通安全设施管理制度的，扣5分；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3.管理制度不符合相应规范要求，每发现一处，扣</w:t>
            </w:r>
            <w:r>
              <w:rPr>
                <w:rFonts w:hint="eastAsia"/>
                <w:lang w:val="en-US" w:eastAsia="en-US"/>
              </w:rPr>
              <w:t>0.</w:t>
            </w:r>
            <w:r>
              <w:rPr>
                <w:rFonts w:hint="eastAsia"/>
                <w:lang w:val="en-US" w:eastAsia="zh-CN"/>
              </w:rPr>
              <w:t>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4.未建立检查、维护台账，扣2分；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5.企业应按规定对交通安全设施进行检查、维修，未及时对损坏的设施进行维修，保持良好工作状态的，以千米为单位,每发现一处扣1分</w:t>
            </w:r>
            <w:r>
              <w:rPr>
                <w:rFonts w:hint="eastAsia"/>
                <w:lang w:val="en-US" w:eastAsia="zh-CN"/>
              </w:rPr>
              <w:br w:type="textWrapping"/>
            </w:r>
            <w:r>
              <w:rPr>
                <w:rFonts w:hint="eastAsia"/>
                <w:lang w:val="en-US" w:eastAsia="zh-CN"/>
              </w:rPr>
              <w:t>（1）交通标志、标线缺损、模糊不清的；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（2）反光凸起路标、轮廓标设置不规范；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（3）高速公路桥梁、高路堤以及路侧有悬崖、深沟、江河湖泊等路段未设置路侧护栏或缺损；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（4）防撞设施缺失或不符合要求的；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（5）中央分隔带护栏处未设或缺损的；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zh-TW" w:eastAsia="zh-TW"/>
              </w:rPr>
            </w:pPr>
            <w:r>
              <w:rPr>
                <w:rFonts w:hint="eastAsia"/>
                <w:lang w:val="en-US" w:eastAsia="zh-CN"/>
              </w:rPr>
              <w:t>（6）未设置有效防眩设施的；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lang w:val="en-US" w:eastAsia="zh-CN"/>
              </w:rPr>
            </w:pPr>
            <w:r>
              <w:rPr>
                <w:rFonts w:hint="eastAsia"/>
                <w:lang w:val="en-US" w:eastAsia="zh-CN"/>
              </w:rPr>
              <w:t>（7）其他隔离、标志标线、视线导标、防护设施不符合规范要求的。</w:t>
            </w:r>
          </w:p>
          <w:p>
            <w:pPr>
              <w:pStyle w:val="2"/>
              <w:ind w:left="0" w:leftChars="0" w:firstLine="0" w:firstLineChars="0"/>
              <w:rPr>
                <w:rFonts w:hint="default"/>
                <w:lang w:val="en-US" w:eastAsia="zh-CN"/>
              </w:rPr>
            </w:pPr>
            <w:r>
              <w:rPr>
                <w:rFonts w:hint="eastAsia" w:hAnsi="Times New Roman" w:eastAsia="宋体" w:cs="Times New Roman"/>
                <w:color w:val="FF0000"/>
                <w:kern w:val="0"/>
                <w:sz w:val="22"/>
                <w:szCs w:val="22"/>
                <w:lang w:val="en-US" w:eastAsia="zh-CN" w:bidi="ar"/>
              </w:rPr>
              <w:t>此项可出现负分，在总分中扣除。</w:t>
            </w:r>
          </w:p>
        </w:tc>
        <w:tc>
          <w:tcPr>
            <w:tcW w:w="1392"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hAnsi="Times New Roman" w:eastAsia="宋体" w:cs="Times New Roman"/>
                <w:color w:val="FF0000"/>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hAnsi="Times New Roman" w:eastAsia="宋体" w:cs="Times New Roman"/>
                <w:color w:val="FF0000"/>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6.</w:t>
            </w:r>
            <w:r>
              <w:rPr>
                <w:rFonts w:hint="eastAsia" w:ascii="Times New Roman" w:hAnsi="Times New Roman" w:eastAsia="宋体" w:cs="Times New Roman"/>
                <w:color w:val="auto"/>
                <w:kern w:val="0"/>
                <w:sz w:val="22"/>
                <w:szCs w:val="22"/>
                <w:lang w:val="en-US" w:eastAsia="zh-CN" w:bidi="ar"/>
              </w:rPr>
              <w:t>3管理</w:t>
            </w:r>
            <w:r>
              <w:rPr>
                <w:rFonts w:hint="eastAsia" w:ascii="宋体" w:hAnsi="宋体" w:eastAsia="宋体" w:cs="宋体"/>
                <w:color w:val="000000"/>
                <w:spacing w:val="0"/>
                <w:w w:val="100"/>
                <w:position w:val="0"/>
                <w:sz w:val="21"/>
                <w:szCs w:val="21"/>
              </w:rPr>
              <w:t>设施</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rPr>
              <w:t>①企业应定期对收费、监控、通信、供配电、通风、消防、照明系统等机电设备检查、检测和维护，指定专人负责管理，并做好检查维护台账</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30" w:lineRule="exact"/>
              <w:ind w:left="0" w:leftChars="0" w:right="0" w:firstLine="0" w:firstLine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高速公路营运机电系统和生产设备主要指:各类电子设备：包括电子计算机、收费系统、监控系统、通信系统等;高速公路养护、淸障施救等</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rPr>
              <w:t>企业应按规定定期对收费、监控、通信、供配电系统等机电设备检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、检测和维护,制定专人负责管理，并做好维护台账</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lang w:val="en-US" w:eastAsia="zh-CN"/>
              </w:rPr>
            </w:pPr>
            <w:r>
              <w:rPr>
                <w:rFonts w:hint="eastAsia"/>
                <w:lang w:val="en-US" w:eastAsia="zh-CN"/>
              </w:rPr>
              <w:t>1.未建立收费、监控、通信、供配电系统等机电设备管理制度的，扣5分；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2.3.管理制度不符合相应规范要求，每发现一处，扣</w:t>
            </w:r>
            <w:r>
              <w:rPr>
                <w:rFonts w:hint="eastAsia"/>
                <w:lang w:val="en-US" w:eastAsia="en-US"/>
              </w:rPr>
              <w:t>0.</w:t>
            </w:r>
            <w:r>
              <w:rPr>
                <w:rFonts w:hint="eastAsia"/>
                <w:lang w:val="en-US" w:eastAsia="zh-CN"/>
              </w:rPr>
              <w:t>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3.未按规定建立机电设备管理台账的，扣2分；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4.未指定专人负责机电设备管理的，扣1分；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zh-TW" w:eastAsia="zh-TW"/>
              </w:rPr>
            </w:pPr>
            <w:r>
              <w:rPr>
                <w:rFonts w:hint="eastAsia"/>
                <w:lang w:val="en-US" w:eastAsia="zh-CN"/>
              </w:rPr>
              <w:t>5.未按规定定期对收费、监控、通信、供配电系统等机电设备进行检查、检测和维护的，每发现一处不符合，扣1分；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lang w:val="en-US" w:eastAsia="zh-CN"/>
              </w:rPr>
            </w:pPr>
            <w:r>
              <w:rPr>
                <w:rFonts w:hint="eastAsia"/>
                <w:lang w:val="en-US" w:eastAsia="zh-CN"/>
              </w:rPr>
              <w:t>6.公路、桥梁、隧道的排水、通风、照明、监控、报警、消防、救助等设施应处于完好状态，每发现一处不符合要求的，扣1分。</w:t>
            </w:r>
          </w:p>
          <w:p>
            <w:pPr>
              <w:pStyle w:val="2"/>
              <w:ind w:left="0" w:leftChars="0" w:firstLine="0" w:firstLineChars="0"/>
              <w:rPr>
                <w:rFonts w:hint="eastAsia"/>
                <w:lang w:val="en-US" w:eastAsia="zh-CN"/>
              </w:rPr>
            </w:pPr>
            <w:r>
              <w:rPr>
                <w:rFonts w:hint="eastAsia" w:hAnsi="Times New Roman" w:eastAsia="宋体" w:cs="Times New Roman"/>
                <w:color w:val="FF0000"/>
                <w:kern w:val="0"/>
                <w:sz w:val="22"/>
                <w:szCs w:val="22"/>
                <w:lang w:val="en-US" w:eastAsia="zh-CN" w:bidi="ar"/>
              </w:rPr>
              <w:t>此项可出现负分，在总分中扣除。</w:t>
            </w:r>
          </w:p>
        </w:tc>
        <w:tc>
          <w:tcPr>
            <w:tcW w:w="1392"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hAnsi="Times New Roman" w:eastAsia="宋体" w:cs="Times New Roman"/>
                <w:color w:val="FF0000"/>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hAnsi="Times New Roman" w:eastAsia="宋体" w:cs="Times New Roman"/>
                <w:color w:val="FF0000"/>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rPr>
            </w:pPr>
            <w:r>
              <w:rPr>
                <w:rFonts w:hint="eastAsia"/>
              </w:rPr>
              <w:t>②企业对养护、清障、救援等设备进行规范化管理，建立台账，并定期进行检</w:t>
            </w:r>
            <w:r>
              <w:rPr>
                <w:rFonts w:hint="eastAsia"/>
                <w:lang w:eastAsia="zh-CN"/>
              </w:rPr>
              <w:t>查</w:t>
            </w:r>
            <w:r>
              <w:rPr>
                <w:rFonts w:hint="eastAsia"/>
              </w:rPr>
              <w:t>维修</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企业应加强对养护、清障施救设备的维护，建立管理台账，定期检修并做好记录。</w:t>
            </w:r>
          </w:p>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对企业自己配置的养护、清障施救等生产设备，要严格按照《公路养护技术规范</w:t>
            </w:r>
            <w:r>
              <w:rPr>
                <w:rFonts w:hint="eastAsia" w:cs="宋体"/>
                <w:b w:val="0"/>
                <w:bCs w:val="0"/>
                <w:color w:val="000000"/>
                <w:spacing w:val="0"/>
                <w:w w:val="100"/>
                <w:position w:val="0"/>
                <w:sz w:val="21"/>
                <w:szCs w:val="21"/>
                <w:lang w:val="en-US" w:eastAsia="zh-CN" w:bidi="en-US"/>
              </w:rPr>
              <w:t>》</w:t>
            </w:r>
            <w:r>
              <w:rPr>
                <w:rFonts w:hint="eastAsia" w:ascii="宋体" w:hAnsi="宋体" w:eastAsia="宋体" w:cs="宋体"/>
                <w:b/>
                <w:bCs/>
                <w:color w:val="000000"/>
                <w:spacing w:val="0"/>
                <w:w w:val="100"/>
                <w:position w:val="0"/>
                <w:sz w:val="21"/>
                <w:szCs w:val="21"/>
                <w:lang w:val="en-US" w:eastAsia="en-US" w:bidi="en-US"/>
              </w:rPr>
              <w:t>11.2.</w:t>
            </w:r>
            <w:r>
              <w:rPr>
                <w:rFonts w:hint="eastAsia" w:ascii="宋体" w:hAnsi="宋体" w:eastAsia="宋体" w:cs="宋体"/>
                <w:b/>
                <w:bCs/>
                <w:color w:val="000000"/>
                <w:spacing w:val="0"/>
                <w:w w:val="100"/>
                <w:position w:val="0"/>
                <w:sz w:val="21"/>
                <w:szCs w:val="21"/>
              </w:rPr>
              <w:t>9</w:t>
            </w:r>
            <w:r>
              <w:rPr>
                <w:rFonts w:hint="eastAsia" w:ascii="宋体" w:hAnsi="宋体" w:eastAsia="宋体" w:cs="宋体"/>
                <w:color w:val="000000"/>
                <w:spacing w:val="0"/>
                <w:w w:val="100"/>
                <w:position w:val="0"/>
                <w:sz w:val="21"/>
                <w:szCs w:val="21"/>
              </w:rPr>
              <w:t>规定,加强养护维修机具的操作安全防范和维护。养护机械的操作、维修按有关规定执行。</w:t>
            </w: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对管辖的协作单位参照规定,对配置的养护、清障施救等生产设备加强管理。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lang w:val="en-US" w:eastAsia="zh-CN"/>
              </w:rPr>
              <w:t>4.</w:t>
            </w:r>
            <w:r>
              <w:rPr>
                <w:rFonts w:hint="eastAsia" w:ascii="宋体" w:hAnsi="宋体" w:eastAsia="宋体" w:cs="宋体"/>
                <w:color w:val="000000"/>
                <w:spacing w:val="0"/>
                <w:w w:val="100"/>
                <w:position w:val="0"/>
                <w:sz w:val="21"/>
                <w:szCs w:val="21"/>
              </w:rPr>
              <w:t>养护、清障施救作业实施外包的，企业应监督检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外包单位对养护、清障施救生产设备的检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维修情况，并做好检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记录和相关台账资料的搜集</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按规定定期进行检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维修，并建立养护、清障救援等生产设备管理台账</w:t>
            </w:r>
            <w:r>
              <w:rPr>
                <w:rFonts w:hint="eastAsia" w:cs="宋体"/>
                <w:color w:val="000000"/>
                <w:spacing w:val="0"/>
                <w:w w:val="100"/>
                <w:position w:val="0"/>
                <w:sz w:val="21"/>
                <w:szCs w:val="21"/>
                <w:lang w:eastAsia="zh-CN"/>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宋体" w:hAnsi="宋体" w:eastAsia="宋体" w:cs="宋体"/>
                <w:color w:val="000000"/>
                <w:spacing w:val="0"/>
                <w:w w:val="100"/>
                <w:position w:val="0"/>
                <w:sz w:val="21"/>
                <w:szCs w:val="21"/>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宋体" w:hAnsi="宋体" w:eastAsia="宋体" w:cs="宋体"/>
                <w:color w:val="000000"/>
                <w:spacing w:val="0"/>
                <w:w w:val="100"/>
                <w:position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38" w:lineRule="exact"/>
              <w:ind w:left="0" w:leftChars="0" w:right="0" w:rightChars="0" w:firstLine="280" w:firstLineChars="0"/>
              <w:jc w:val="both"/>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rPr>
              <w:t>③企业按规定对特种设备进行检验和维护，指定专人负责管理，并建立台账</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color w:val="000000"/>
                <w:spacing w:val="0"/>
                <w:w w:val="100"/>
                <w:position w:val="0"/>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企业应指定专人管理特种设备，建立管理台账。并每月至少1次进行检验和维护，做好记录</w:t>
            </w:r>
          </w:p>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color w:val="000000"/>
                <w:spacing w:val="0"/>
                <w:w w:val="100"/>
                <w:position w:val="0"/>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《中华人民共和国特种设备安全法》中规定必须指定专人负责特种设备的安全管理工作。</w:t>
            </w:r>
          </w:p>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rPr>
              <w:t>高速公路运营企业一般会存在厂内机动车柄、电梯、起重机械</w:t>
            </w:r>
            <w:r>
              <w:rPr>
                <w:rFonts w:hint="eastAsia" w:cs="宋体"/>
                <w:color w:val="000000"/>
                <w:spacing w:val="0"/>
                <w:w w:val="100"/>
                <w:position w:val="0"/>
                <w:sz w:val="21"/>
                <w:szCs w:val="21"/>
                <w:lang w:eastAsia="zh-CN"/>
              </w:rPr>
              <w:t>、</w:t>
            </w:r>
            <w:r>
              <w:rPr>
                <w:rFonts w:hint="eastAsia" w:cs="宋体"/>
                <w:color w:val="000000"/>
                <w:spacing w:val="0"/>
                <w:w w:val="100"/>
                <w:position w:val="0"/>
                <w:sz w:val="21"/>
                <w:szCs w:val="21"/>
                <w:lang w:val="en-US" w:eastAsia="zh-CN"/>
              </w:rPr>
              <w:t>锅炉</w:t>
            </w:r>
            <w:r>
              <w:rPr>
                <w:rFonts w:hint="eastAsia" w:ascii="宋体" w:hAnsi="宋体" w:eastAsia="宋体" w:cs="宋体"/>
                <w:color w:val="000000"/>
                <w:spacing w:val="0"/>
                <w:w w:val="100"/>
                <w:position w:val="0"/>
                <w:sz w:val="21"/>
                <w:szCs w:val="21"/>
              </w:rPr>
              <w:t>等特种设备</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1.按规定对特种设备进行检验和维护；</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2.指定专人负责特种设备管理；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3.建立特种设备管理台账</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七、</w:t>
            </w:r>
            <w:r>
              <w:rPr>
                <w:rFonts w:hint="default" w:ascii="Times New Roman" w:hAnsi="Times New Roman" w:eastAsia="宋体" w:cs="Times New Roman"/>
                <w:color w:val="auto"/>
                <w:kern w:val="0"/>
                <w:sz w:val="22"/>
                <w:szCs w:val="22"/>
                <w:lang w:val="en-US" w:eastAsia="zh-CN" w:bidi="ar"/>
              </w:rPr>
              <w:t xml:space="preserve">科技信息化 </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科技</w:t>
            </w:r>
            <w:r>
              <w:rPr>
                <w:rFonts w:hint="eastAsia" w:ascii="Times New Roman" w:hAnsi="Times New Roman" w:eastAsia="宋体" w:cs="Times New Roman"/>
                <w:color w:val="auto"/>
                <w:kern w:val="0"/>
                <w:sz w:val="22"/>
                <w:szCs w:val="22"/>
                <w:lang w:val="en-US" w:eastAsia="zh-CN" w:bidi="ar"/>
              </w:rPr>
              <w:t>信息化（40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宋体" w:hAnsi="宋体" w:eastAsia="宋体" w:cs="宋体"/>
                <w:color w:val="000000"/>
                <w:spacing w:val="0"/>
                <w:w w:val="100"/>
                <w:position w:val="0"/>
                <w:sz w:val="21"/>
                <w:szCs w:val="21"/>
              </w:rPr>
              <w:t>①企业应积极应用推广道路全程监控系统,协助做好道路交通事件管控</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高速公路营运企业应当建立智能化程度较高、资源配置合理、监控效果明显、管理方便的全程监控系统，以强化对道路交通事件的管控能力</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0"/>
              </w:tabs>
              <w:bidi w:val="0"/>
              <w:spacing w:before="0" w:after="0" w:line="331"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未应用推广道路全程监控系统的，实现全线的全程监控、动态信息发布和交通诱导，</w:t>
            </w:r>
            <w:r>
              <w:rPr>
                <w:rFonts w:hint="eastAsia" w:ascii="宋体" w:hAnsi="宋体" w:eastAsia="宋体"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p>
            <w:pPr>
              <w:pStyle w:val="2"/>
              <w:ind w:left="0" w:leftChars="0" w:firstLine="0" w:firstLineChars="0"/>
              <w:rPr>
                <w:rFonts w:hint="default"/>
                <w:lang w:val="en-US" w:eastAsia="zh-CN"/>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未应用推广道路分段监控系统的,</w:t>
            </w:r>
            <w:r>
              <w:rPr>
                <w:rFonts w:hint="eastAsia" w:ascii="宋体" w:hAnsi="宋体" w:eastAsia="宋体" w:cs="宋体"/>
                <w:color w:val="000000"/>
                <w:spacing w:val="0"/>
                <w:w w:val="100"/>
                <w:position w:val="0"/>
                <w:sz w:val="21"/>
                <w:szCs w:val="21"/>
                <w:lang w:val="en-US"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90"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rightChars="0" w:firstLine="0" w:firstLineChars="0"/>
              <w:jc w:val="both"/>
              <w:rPr>
                <w:rFonts w:hint="default" w:ascii="Times New Roman" w:hAnsi="Times New Roman" w:eastAsia="宋体" w:cs="Times New Roman"/>
                <w:color w:val="auto"/>
                <w:sz w:val="22"/>
                <w:szCs w:val="22"/>
                <w:lang w:val="en-US"/>
              </w:rPr>
            </w:pPr>
            <w:r>
              <w:rPr>
                <w:rFonts w:hint="eastAsia" w:ascii="宋体" w:hAnsi="宋体" w:eastAsia="宋体" w:cs="宋体"/>
                <w:color w:val="000000"/>
                <w:spacing w:val="0"/>
                <w:w w:val="100"/>
                <w:position w:val="0"/>
                <w:sz w:val="21"/>
                <w:szCs w:val="21"/>
              </w:rPr>
              <w:t>②道路全程监控系统应纳入省级交通行业主管部门应急指挥平台，参与配合处置各类道路交通事件</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rightChars="0" w:firstLine="0" w:firstLineChars="0"/>
              <w:jc w:val="both"/>
              <w:rPr>
                <w:rFonts w:hint="default"/>
                <w:sz w:val="22"/>
                <w:szCs w:val="22"/>
                <w:lang w:val="en-US" w:eastAsia="zh-CN"/>
              </w:rPr>
            </w:pPr>
            <w:r>
              <w:rPr>
                <w:rFonts w:hint="eastAsia" w:ascii="宋体" w:hAnsi="宋体" w:eastAsia="宋体" w:cs="宋体"/>
                <w:color w:val="000000"/>
                <w:spacing w:val="0"/>
                <w:w w:val="100"/>
                <w:position w:val="0"/>
                <w:sz w:val="21"/>
                <w:szCs w:val="21"/>
              </w:rPr>
              <w:t>道路全程监控系统应通过省级交通应急指挥平台纳入路网监测与信息管理系统。按要求参与配合各类道路交通事件的指挥、协调、处置</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8"/>
              </w:tabs>
              <w:bidi w:val="0"/>
              <w:spacing w:before="0" w:after="0" w:line="338" w:lineRule="exact"/>
              <w:ind w:right="0" w:rightChars="0"/>
              <w:jc w:val="both"/>
              <w:rPr>
                <w:rFonts w:hint="eastAsia"/>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应纳入省级应急指挥平台；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lang w:val="en-US" w:eastAsia="zh-CN"/>
              </w:rPr>
              <w:t>2.</w:t>
            </w:r>
            <w:r>
              <w:rPr>
                <w:rFonts w:hint="eastAsia"/>
              </w:rPr>
              <w:t>信息上报应</w:t>
            </w:r>
            <w:r>
              <w:rPr>
                <w:rFonts w:hint="eastAsia"/>
                <w:lang w:val="en-US" w:eastAsia="zh-CN"/>
              </w:rPr>
              <w:t>不</w:t>
            </w:r>
            <w:r>
              <w:rPr>
                <w:rFonts w:hint="eastAsia"/>
              </w:rPr>
              <w:t>及时，影响指挥、协调、处置各类道路交通事件</w:t>
            </w:r>
            <w:r>
              <w:rPr>
                <w:rFonts w:hint="eastAsia"/>
                <w:lang w:eastAsia="zh-CN"/>
              </w:rPr>
              <w:t>，</w:t>
            </w:r>
            <w:r>
              <w:rPr>
                <w:rFonts w:hint="eastAsia"/>
                <w:lang w:val="en-US"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31" w:lineRule="exact"/>
              <w:ind w:left="0" w:leftChars="0" w:right="0" w:rightChars="0" w:firstLine="0" w:firstLineChars="0"/>
              <w:jc w:val="both"/>
              <w:rPr>
                <w:rFonts w:hint="default" w:ascii="Times New Roman" w:hAnsi="Times New Roman" w:eastAsia="宋体" w:cs="Times New Roman"/>
                <w:color w:val="auto"/>
                <w:sz w:val="22"/>
                <w:szCs w:val="22"/>
                <w:lang w:val="en-US"/>
              </w:rPr>
            </w:pPr>
            <w:r>
              <w:rPr>
                <w:rFonts w:hint="eastAsia" w:ascii="宋体" w:hAnsi="宋体" w:eastAsia="宋体" w:cs="宋体"/>
                <w:color w:val="000000"/>
                <w:spacing w:val="0"/>
                <w:w w:val="100"/>
                <w:position w:val="0"/>
                <w:sz w:val="21"/>
                <w:szCs w:val="21"/>
              </w:rPr>
              <w:t>③企业应积极建立安全生产管理系统或平台</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企业应建立安全生产管理系统或平台，具备收集、汇总、保存和发布企业安全管理信息等功能。</w:t>
            </w:r>
          </w:p>
          <w:p>
            <w:pPr>
              <w:pStyle w:val="40"/>
              <w:keepNext w:val="0"/>
              <w:keepLines w:val="0"/>
              <w:widowControl w:val="0"/>
              <w:shd w:val="clear" w:color="auto" w:fill="auto"/>
              <w:bidi w:val="0"/>
              <w:spacing w:before="0" w:after="0" w:line="329"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公路桥梁运营企业应建立养护管理系统和健康监测系统</w:t>
            </w:r>
            <w:r>
              <w:rPr>
                <w:rFonts w:hint="eastAsia" w:cs="宋体"/>
                <w:color w:val="000000"/>
                <w:spacing w:val="0"/>
                <w:w w:val="100"/>
                <w:position w:val="0"/>
                <w:sz w:val="21"/>
                <w:szCs w:val="21"/>
                <w:lang w:eastAsia="zh-CN"/>
              </w:rPr>
              <w:t>。</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10</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未配备专职动态监控人员，</w:t>
            </w:r>
            <w:r>
              <w:rPr>
                <w:rFonts w:hint="eastAsia" w:ascii="Times New Roman" w:hAnsi="Times New Roman" w:eastAsia="宋体" w:cs="Times New Roman"/>
                <w:color w:val="auto"/>
                <w:kern w:val="0"/>
                <w:sz w:val="22"/>
                <w:szCs w:val="22"/>
                <w:lang w:val="en-US" w:eastAsia="zh-CN" w:bidi="ar"/>
              </w:rPr>
              <w:t>不得分</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2.监控管理人员未经培训考核</w:t>
            </w:r>
            <w:r>
              <w:rPr>
                <w:rFonts w:hint="eastAsia" w:ascii="Times New Roman" w:hAnsi="Times New Roman" w:eastAsia="宋体" w:cs="Times New Roman"/>
                <w:color w:val="auto"/>
                <w:kern w:val="0"/>
                <w:sz w:val="22"/>
                <w:szCs w:val="22"/>
                <w:lang w:val="en-US" w:eastAsia="zh-CN" w:bidi="ar"/>
              </w:rPr>
              <w:t>，不得分；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3.</w:t>
            </w:r>
            <w:r>
              <w:rPr>
                <w:rFonts w:hint="eastAsia" w:ascii="Times New Roman" w:hAnsi="Times New Roman" w:eastAsia="宋体" w:cs="Times New Roman"/>
                <w:color w:val="auto"/>
                <w:kern w:val="0"/>
                <w:sz w:val="22"/>
                <w:szCs w:val="22"/>
                <w:lang w:val="en-US" w:eastAsia="zh-CN" w:bidi="ar"/>
              </w:rPr>
              <w:t>监控记录未保存的，不得分。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八、</w:t>
            </w:r>
            <w:r>
              <w:rPr>
                <w:rFonts w:hint="default" w:ascii="Times New Roman" w:hAnsi="Times New Roman" w:eastAsia="宋体" w:cs="Times New Roman"/>
                <w:color w:val="auto"/>
                <w:kern w:val="0"/>
                <w:sz w:val="22"/>
                <w:szCs w:val="22"/>
                <w:lang w:val="en-US" w:eastAsia="zh-CN" w:bidi="ar"/>
              </w:rPr>
              <w:t xml:space="preserve">教育培训 </w:t>
            </w:r>
            <w:r>
              <w:rPr>
                <w:rFonts w:hint="eastAsia" w:ascii="Times New Roman" w:hAnsi="Times New Roman" w:eastAsia="宋体" w:cs="Times New Roman"/>
                <w:color w:val="auto"/>
                <w:kern w:val="0"/>
                <w:sz w:val="22"/>
                <w:szCs w:val="22"/>
                <w:lang w:val="en-US" w:eastAsia="zh-CN" w:bidi="ar"/>
              </w:rPr>
              <w:t>100</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8.1 培训管理</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企业应按规定开展安全教育培训，明确安全教育培训目标、内容和要求，制定并实施安全教育培训计划</w:t>
            </w:r>
            <w:r>
              <w:rPr>
                <w:rFonts w:hint="eastAsia" w:ascii="Times New Roman" w:hAnsi="Times New Roman" w:eastAsia="宋体" w:cs="Times New Roman"/>
                <w:color w:val="auto"/>
                <w:kern w:val="0"/>
                <w:sz w:val="22"/>
                <w:szCs w:val="22"/>
                <w:lang w:val="en-US" w:eastAsia="zh-CN" w:bidi="ar"/>
              </w:rPr>
              <w:t>。</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Arial" w:hAnsi="Arial" w:eastAsia="宋体" w:cs="Arial"/>
                <w:i w:val="0"/>
                <w:iCs w:val="0"/>
                <w:caps w:val="0"/>
                <w:color w:val="auto"/>
                <w:spacing w:val="0"/>
                <w:kern w:val="0"/>
                <w:sz w:val="22"/>
                <w:szCs w:val="22"/>
                <w:shd w:val="clear" w:fill="FFFFFF"/>
                <w:lang w:val="en-US" w:eastAsia="zh-CN" w:bidi="ar"/>
              </w:rPr>
            </w:pPr>
            <w:r>
              <w:rPr>
                <w:rFonts w:hint="eastAsia" w:ascii="宋体" w:hAnsi="宋体" w:eastAsia="宋体" w:cs="宋体"/>
                <w:color w:val="000000"/>
                <w:spacing w:val="0"/>
                <w:w w:val="100"/>
                <w:position w:val="0"/>
                <w:sz w:val="21"/>
                <w:szCs w:val="21"/>
              </w:rPr>
              <w:t>企业应确定安全教育和培训主管部门,按规定及岗位需要，定期识别安全教育和培训需求，制定、实施安全教育和培训计划，提供相应的资源</w:t>
            </w:r>
            <w:r>
              <w:rPr>
                <w:rFonts w:hint="eastAsia" w:ascii="宋体" w:hAnsi="宋体" w:eastAsia="宋体" w:cs="宋体"/>
                <w:color w:val="000000"/>
                <w:spacing w:val="0"/>
                <w:w w:val="100"/>
                <w:position w:val="0"/>
                <w:sz w:val="21"/>
                <w:szCs w:val="21"/>
                <w:lang w:val="zh-CN" w:eastAsia="zh-CN" w:bidi="zh-CN"/>
              </w:rPr>
              <w:t>保证。</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未制定安全教育培训制度，</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未制定培训计划的，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培训内容及学时达不到相关要求的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.未按照培训计划开展安全教育培训的，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宋体" w:hAnsi="宋体" w:eastAsia="宋体" w:cs="宋体"/>
                <w:color w:val="000000"/>
                <w:spacing w:val="0"/>
                <w:w w:val="100"/>
                <w:position w:val="0"/>
                <w:sz w:val="21"/>
                <w:szCs w:val="21"/>
              </w:rPr>
              <w:t>企业应组织对培训效果的评估，改进提高培训质</w:t>
            </w:r>
            <w:r>
              <w:rPr>
                <w:rFonts w:hint="eastAsia" w:cs="宋体"/>
                <w:color w:val="000000"/>
                <w:spacing w:val="0"/>
                <w:w w:val="100"/>
                <w:position w:val="0"/>
                <w:sz w:val="21"/>
                <w:szCs w:val="21"/>
                <w:lang w:eastAsia="zh-CN"/>
              </w:rPr>
              <w:t>量</w:t>
            </w:r>
          </w:p>
        </w:tc>
        <w:tc>
          <w:tcPr>
            <w:tcW w:w="3341"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default"/>
                <w:lang w:val="en-US" w:eastAsia="zh-CN"/>
              </w:rPr>
            </w:pPr>
            <w:r>
              <w:rPr>
                <w:rFonts w:hint="eastAsia" w:ascii="宋体" w:hAnsi="宋体" w:eastAsia="宋体" w:cs="宋体"/>
                <w:color w:val="000000"/>
                <w:spacing w:val="0"/>
                <w:w w:val="100"/>
                <w:position w:val="0"/>
                <w:sz w:val="21"/>
                <w:szCs w:val="21"/>
              </w:rPr>
              <w:t>为了更好地落实实施继续教育和培训计划，企业应在每次教育和培训结束后，对培训效果进行评审，以便及时发现培训过程中存在的问题，制定解决或优化方案，调整培训计划，改进提高培训教育质揪</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20</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8"/>
              </w:tabs>
              <w:bidi w:val="0"/>
              <w:spacing w:before="0" w:after="0" w:line="302"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无培训效果评估及改进措施，每缺一次扣</w:t>
            </w:r>
            <w:r>
              <w:rPr>
                <w:rFonts w:hint="eastAsia" w:ascii="宋体" w:hAnsi="宋体" w:eastAsia="宋体" w:cs="宋体"/>
                <w:b/>
                <w:bCs/>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培训效果评估不真实的或改进措施不具体的，每项扣</w:t>
            </w:r>
            <w:r>
              <w:rPr>
                <w:rFonts w:hint="eastAsia" w:ascii="宋体" w:hAnsi="宋体" w:eastAsia="宋体" w:cs="宋体"/>
                <w:b/>
                <w:bCs/>
                <w:color w:val="000000"/>
                <w:spacing w:val="0"/>
                <w:w w:val="100"/>
                <w:position w:val="0"/>
                <w:sz w:val="21"/>
                <w:szCs w:val="21"/>
                <w:lang w:val="en-US" w:eastAsia="zh-CN" w:bidi="en-US"/>
              </w:rPr>
              <w:t>5</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8.2 资格培训</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企业主要负责人和管理人员应具备相应的安全生产知识和管理能力，并经主管的负有安全生产监督管理职责的部门考核合格</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《安全生产法》第二十七条规定，生产经营单位的主要负责人和安全生产管理人员必须具备与本单位所从事的生产经营活动相应的安全生产知识和管理能力。</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主要负责人和安全管理人员未取得安全能力考核合格资格证的，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宋体" w:hAnsi="宋体" w:eastAsia="宋体" w:cs="宋体"/>
                <w:color w:val="000000"/>
                <w:spacing w:val="0"/>
                <w:w w:val="100"/>
                <w:position w:val="0"/>
                <w:sz w:val="21"/>
                <w:szCs w:val="21"/>
              </w:rPr>
              <w:t>企业的特种设备作业人员应按有关规定参加安全教育培训，取得《特种设备作业人员证》后，方可从事相应的特种设备作业或者管理工作，并按规定定期进行复审</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rPr>
              <w:t>《特种设备作业人员监督管理办法》第二条规定：锅炉、压力容器（含气瓶）、压力管道、电梯、起重机械、客运索道、大型游乐设施、场（厂）内机动车辆等特种设备的作业人员及其相关管理人员统称特种设备作业人员。特种设备作业人员作业种类与项目目录见本办法附件。从事特种设备作业的人员应当按照本办法的规定，经考核合格取得《特种设备作业人员证》，方可从事相应的作业或者管理工作。</w:t>
            </w:r>
          </w:p>
          <w:p>
            <w:pPr>
              <w:pStyle w:val="40"/>
              <w:keepNext w:val="0"/>
              <w:keepLines w:val="0"/>
              <w:widowControl w:val="0"/>
              <w:shd w:val="clear" w:color="auto" w:fill="auto"/>
              <w:bidi w:val="0"/>
              <w:spacing w:before="0" w:after="0" w:line="329" w:lineRule="exact"/>
              <w:ind w:left="0" w:leftChars="0" w:right="0" w:firstLine="0" w:firstLineChars="0"/>
              <w:jc w:val="both"/>
              <w:rPr>
                <w:rFonts w:hint="default"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rPr>
              <w:t>《特种设备作业人员监督管理办法》第二十二条规定：《特种设备作业人员证》每4年复审一次。持证人员应当在复审期满3个月前，向发证部门提出复审申请。复审合格的，由发证部门在证书正本上签章。对在2年内无违规、违法等不良记录，并按时参加安全培训的，应当按照有关安全技术规范的规定延长复审期限。</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25"/>
              </w:tabs>
              <w:bidi w:val="0"/>
              <w:spacing w:before="0" w:after="0" w:line="317"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特种设备作业人员</w:t>
            </w:r>
            <w:r>
              <w:rPr>
                <w:rFonts w:hint="eastAsia" w:ascii="宋体" w:hAnsi="宋体" w:eastAsia="宋体" w:cs="宋体"/>
                <w:color w:val="000000"/>
                <w:spacing w:val="0"/>
                <w:w w:val="100"/>
                <w:position w:val="0"/>
                <w:sz w:val="21"/>
                <w:szCs w:val="21"/>
                <w:lang w:val="en-US" w:eastAsia="zh-CN"/>
              </w:rPr>
              <w:t>未</w:t>
            </w:r>
            <w:r>
              <w:rPr>
                <w:rFonts w:hint="eastAsia" w:ascii="宋体" w:hAnsi="宋体" w:eastAsia="宋体" w:cs="宋体"/>
                <w:color w:val="000000"/>
                <w:spacing w:val="0"/>
                <w:w w:val="100"/>
                <w:position w:val="0"/>
                <w:sz w:val="21"/>
                <w:szCs w:val="21"/>
              </w:rPr>
              <w:t>取得《特种设备作业人员证》</w:t>
            </w:r>
            <w:r>
              <w:rPr>
                <w:rFonts w:hint="eastAsia" w:ascii="宋体" w:hAnsi="宋体" w:eastAsia="宋体"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p>
            <w:pPr>
              <w:pStyle w:val="40"/>
              <w:keepNext w:val="0"/>
              <w:keepLines w:val="0"/>
              <w:widowControl w:val="0"/>
              <w:numPr>
                <w:ilvl w:val="0"/>
                <w:numId w:val="0"/>
              </w:numPr>
              <w:shd w:val="clear" w:color="auto" w:fill="auto"/>
              <w:tabs>
                <w:tab w:val="left" w:pos="425"/>
              </w:tabs>
              <w:bidi w:val="0"/>
              <w:spacing w:before="0" w:after="0" w:line="324" w:lineRule="exact"/>
              <w:ind w:right="0" w:rightChars="0"/>
              <w:jc w:val="both"/>
              <w:rPr>
                <w:rFonts w:hint="default" w:ascii="宋体" w:hAnsi="宋体" w:eastAsia="宋体" w:cs="宋体"/>
                <w:sz w:val="21"/>
                <w:szCs w:val="21"/>
                <w:lang w:val="en-US" w:eastAsia="zh-CN"/>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《特种设备作业人员证》</w:t>
            </w:r>
            <w:r>
              <w:rPr>
                <w:rFonts w:hint="eastAsia" w:ascii="宋体" w:hAnsi="宋体" w:eastAsia="宋体" w:cs="宋体"/>
                <w:color w:val="000000"/>
                <w:spacing w:val="0"/>
                <w:w w:val="100"/>
                <w:position w:val="0"/>
                <w:sz w:val="21"/>
                <w:szCs w:val="21"/>
                <w:lang w:val="en-US" w:eastAsia="zh-CN"/>
              </w:rPr>
              <w:t>未</w:t>
            </w:r>
            <w:r>
              <w:rPr>
                <w:rFonts w:hint="eastAsia" w:ascii="宋体" w:hAnsi="宋体" w:eastAsia="宋体" w:cs="宋体"/>
                <w:color w:val="000000"/>
                <w:spacing w:val="0"/>
                <w:w w:val="100"/>
                <w:position w:val="0"/>
                <w:sz w:val="21"/>
                <w:szCs w:val="21"/>
              </w:rPr>
              <w:t>定期复审</w:t>
            </w:r>
            <w:r>
              <w:rPr>
                <w:rFonts w:hint="eastAsia" w:ascii="宋体" w:hAnsi="宋体" w:eastAsia="宋体"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lang w:val="en-US" w:eastAsia="zh-CN"/>
              </w:rPr>
              <w:t>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lang w:val="en-US" w:eastAsia="zh-CN"/>
              </w:rPr>
              <w:t>③</w:t>
            </w:r>
            <w:r>
              <w:rPr>
                <w:rFonts w:hint="eastAsia" w:ascii="宋体" w:hAnsi="宋体" w:eastAsia="宋体" w:cs="宋体"/>
                <w:color w:val="000000"/>
                <w:spacing w:val="0"/>
                <w:w w:val="100"/>
                <w:position w:val="0"/>
                <w:sz w:val="21"/>
                <w:szCs w:val="21"/>
              </w:rPr>
              <w:t>企业的特种作业人员应经专门的安全技术培训并考核合格，取得《中华人民共和国特种作业操作证》后,方可上岗作业，并按规定定期进行复审离开特种作业岗位</w:t>
            </w:r>
            <w:r>
              <w:rPr>
                <w:rFonts w:hint="eastAsia" w:ascii="宋体" w:hAnsi="宋体" w:eastAsia="宋体" w:cs="宋体"/>
                <w:b/>
                <w:bCs/>
                <w:color w:val="000000"/>
                <w:spacing w:val="0"/>
                <w:w w:val="100"/>
                <w:position w:val="0"/>
                <w:sz w:val="21"/>
                <w:szCs w:val="21"/>
              </w:rPr>
              <w:t>6</w:t>
            </w:r>
            <w:r>
              <w:rPr>
                <w:rFonts w:hint="eastAsia" w:ascii="宋体" w:hAnsi="宋体" w:eastAsia="宋体" w:cs="宋体"/>
                <w:color w:val="000000"/>
                <w:spacing w:val="0"/>
                <w:w w:val="100"/>
                <w:position w:val="0"/>
                <w:sz w:val="21"/>
                <w:szCs w:val="21"/>
              </w:rPr>
              <w:t>个月以上的特种作业人员，应重新进行实际操作考试，经确认合格后方可上岗作业</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default"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rPr>
              <w:t>《中华人民共和国安全生产法》第二十七条规定：生产经营单位的特种作业人员必须按照国家有关规定经专门的安全作业培训，取得相应资格，方可上岗作业。</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特种作业人员未持证上岗或《中华人民共和国特种作业操作证》到期未进行复审，</w:t>
            </w:r>
            <w:r>
              <w:rPr>
                <w:rFonts w:hint="eastAsia" w:ascii="宋体" w:hAnsi="宋体" w:eastAsia="宋体"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离开特种作业岗位</w:t>
            </w:r>
            <w:r>
              <w:rPr>
                <w:rFonts w:hint="eastAsia" w:ascii="宋体" w:hAnsi="宋体" w:eastAsia="宋体" w:cs="宋体"/>
                <w:b/>
                <w:bCs/>
                <w:color w:val="000000"/>
                <w:spacing w:val="0"/>
                <w:w w:val="100"/>
                <w:position w:val="0"/>
                <w:sz w:val="21"/>
                <w:szCs w:val="21"/>
              </w:rPr>
              <w:t>6</w:t>
            </w:r>
            <w:r>
              <w:rPr>
                <w:rFonts w:hint="eastAsia" w:ascii="宋体" w:hAnsi="宋体" w:eastAsia="宋体" w:cs="宋体"/>
                <w:color w:val="000000"/>
                <w:spacing w:val="0"/>
                <w:w w:val="100"/>
                <w:position w:val="0"/>
                <w:sz w:val="21"/>
                <w:szCs w:val="21"/>
              </w:rPr>
              <w:t>个月以上的特种作业人员，未重新进行实际操作考试，经确认合格后上岗作业的</w:t>
            </w:r>
            <w:r>
              <w:rPr>
                <w:rFonts w:hint="eastAsia" w:ascii="宋体" w:hAnsi="宋体" w:eastAsia="宋体"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lang w:val="en-US"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cyan"/>
              </w:rPr>
            </w:pPr>
            <w:r>
              <w:rPr>
                <w:rFonts w:hint="default" w:ascii="Times New Roman" w:hAnsi="Times New Roman" w:eastAsia="宋体" w:cs="Times New Roman"/>
                <w:color w:val="auto"/>
                <w:kern w:val="0"/>
                <w:sz w:val="22"/>
                <w:szCs w:val="22"/>
                <w:highlight w:val="none"/>
                <w:lang w:val="en-US" w:eastAsia="zh-CN" w:bidi="ar"/>
              </w:rPr>
              <w:t>8.3 安全教育培训</w:t>
            </w:r>
            <w:r>
              <w:rPr>
                <w:rFonts w:hint="eastAsia" w:ascii="Times New Roman" w:hAnsi="Times New Roman" w:eastAsia="宋体" w:cs="Times New Roman"/>
                <w:color w:val="auto"/>
                <w:kern w:val="0"/>
                <w:sz w:val="22"/>
                <w:szCs w:val="22"/>
                <w:highlight w:val="none"/>
                <w:lang w:val="en-US" w:eastAsia="zh-CN" w:bidi="ar"/>
              </w:rPr>
              <w:t>（30）</w:t>
            </w:r>
            <w:r>
              <w:rPr>
                <w:rFonts w:hint="default" w:ascii="Times New Roman" w:hAnsi="Times New Roman" w:eastAsia="宋体" w:cs="Times New Roman"/>
                <w:color w:val="auto"/>
                <w:kern w:val="0"/>
                <w:sz w:val="22"/>
                <w:szCs w:val="22"/>
                <w:highlight w:val="none"/>
                <w:lang w:val="en-US" w:eastAsia="zh-CN" w:bidi="ar"/>
              </w:rPr>
              <w:t>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宋体" w:hAnsi="宋体" w:eastAsia="宋体" w:cs="宋体"/>
                <w:color w:val="000000"/>
                <w:spacing w:val="0"/>
                <w:w w:val="100"/>
                <w:position w:val="0"/>
                <w:sz w:val="21"/>
                <w:szCs w:val="21"/>
                <w:lang w:val="en-US" w:eastAsia="zh-CN"/>
              </w:rPr>
              <w:fldChar w:fldCharType="begin"/>
            </w:r>
            <w:r>
              <w:rPr>
                <w:rFonts w:hint="default" w:ascii="宋体" w:hAnsi="宋体" w:eastAsia="宋体" w:cs="宋体"/>
                <w:color w:val="000000"/>
                <w:spacing w:val="0"/>
                <w:w w:val="100"/>
                <w:position w:val="0"/>
                <w:sz w:val="21"/>
                <w:szCs w:val="21"/>
                <w:lang w:val="en-US" w:eastAsia="zh-CN"/>
              </w:rPr>
              <w:instrText xml:space="preserve"> = 1 \* GB3 \* MERGEFORMAT </w:instrText>
            </w:r>
            <w:r>
              <w:rPr>
                <w:rFonts w:hint="default" w:ascii="宋体" w:hAnsi="宋体" w:eastAsia="宋体" w:cs="宋体"/>
                <w:color w:val="000000"/>
                <w:spacing w:val="0"/>
                <w:w w:val="100"/>
                <w:position w:val="0"/>
                <w:sz w:val="21"/>
                <w:szCs w:val="21"/>
                <w:lang w:val="en-US" w:eastAsia="zh-CN"/>
              </w:rPr>
              <w:fldChar w:fldCharType="separate"/>
            </w:r>
            <w:r>
              <w:rPr>
                <w:rFonts w:hint="default" w:ascii="宋体" w:hAnsi="宋体" w:eastAsia="宋体" w:cs="宋体"/>
                <w:color w:val="000000"/>
                <w:spacing w:val="0"/>
                <w:w w:val="100"/>
                <w:position w:val="0"/>
                <w:sz w:val="21"/>
                <w:szCs w:val="21"/>
                <w:lang w:val="en-US" w:eastAsia="zh-CN"/>
              </w:rPr>
              <w:t>①</w:t>
            </w:r>
            <w:r>
              <w:rPr>
                <w:rFonts w:hint="default" w:ascii="宋体" w:hAnsi="宋体" w:eastAsia="宋体" w:cs="宋体"/>
                <w:color w:val="000000"/>
                <w:spacing w:val="0"/>
                <w:w w:val="100"/>
                <w:position w:val="0"/>
                <w:sz w:val="21"/>
                <w:szCs w:val="21"/>
                <w:lang w:val="en-US" w:eastAsia="zh-CN"/>
              </w:rPr>
              <w:fldChar w:fldCharType="end"/>
            </w:r>
            <w:r>
              <w:rPr>
                <w:rFonts w:hint="eastAsia" w:ascii="宋体" w:hAnsi="宋体" w:eastAsia="宋体" w:cs="宋体"/>
                <w:color w:val="000000"/>
                <w:spacing w:val="0"/>
                <w:w w:val="100"/>
                <w:position w:val="0"/>
                <w:sz w:val="21"/>
                <w:szCs w:val="21"/>
              </w:rPr>
              <w:t>应对新员工进行三级安全教育培训.经考核合格后.方可上岗.培训时间不得少于规定学时</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75" w:lineRule="exact"/>
              <w:ind w:left="0" w:leftChars="0" w:right="0" w:firstLine="0" w:firstLine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《生产经营单位安全培训规定》第十二条规定:加工、制造业等生产单位的其他从业人员，在上岗前必须经过厂（矿）、车间（工段、区、队）、班组三级安全培训教育。</w:t>
            </w:r>
          </w:p>
          <w:p>
            <w:pPr>
              <w:pStyle w:val="40"/>
              <w:keepNext w:val="0"/>
              <w:keepLines w:val="0"/>
              <w:widowControl w:val="0"/>
              <w:shd w:val="clear" w:color="auto" w:fill="auto"/>
              <w:bidi w:val="0"/>
              <w:spacing w:before="0" w:after="0" w:line="275" w:lineRule="exact"/>
              <w:ind w:left="0" w:leftChars="0" w:right="0" w:firstLine="0" w:firstLine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生产经营单位应当根据工作性质对其他从业人员进行安全培训，保证其具备本岗位安全操作、应急处置等知识和技能。</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《生产经营单位安全培训规定》第十三条规定:生产经营单位新上岗的从业人员，岗前安全培训时间不得少于</w:t>
            </w:r>
            <w:r>
              <w:rPr>
                <w:rFonts w:hint="eastAsia" w:ascii="宋体" w:hAnsi="宋体" w:eastAsia="宋体" w:cs="宋体"/>
                <w:b/>
                <w:bCs/>
                <w:color w:val="000000"/>
                <w:spacing w:val="0"/>
                <w:w w:val="100"/>
                <w:position w:val="0"/>
                <w:sz w:val="21"/>
                <w:szCs w:val="21"/>
              </w:rPr>
              <w:t>24</w:t>
            </w:r>
            <w:r>
              <w:rPr>
                <w:rFonts w:hint="eastAsia" w:ascii="宋体" w:hAnsi="宋体" w:eastAsia="宋体" w:cs="宋体"/>
                <w:color w:val="000000"/>
                <w:spacing w:val="0"/>
                <w:w w:val="100"/>
                <w:position w:val="0"/>
                <w:sz w:val="21"/>
                <w:szCs w:val="21"/>
              </w:rPr>
              <w:t>学时</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0"/>
              </w:tabs>
              <w:bidi w:val="0"/>
              <w:spacing w:before="0" w:after="0" w:line="281"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未对新员工进行三级安全教育和培训的，</w:t>
            </w:r>
            <w:r>
              <w:rPr>
                <w:rFonts w:hint="eastAsia" w:ascii="宋体" w:hAnsi="宋体" w:eastAsia="宋体"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p>
            <w:pPr>
              <w:pStyle w:val="40"/>
              <w:keepNext w:val="0"/>
              <w:keepLines w:val="0"/>
              <w:widowControl w:val="0"/>
              <w:numPr>
                <w:ilvl w:val="0"/>
                <w:numId w:val="0"/>
              </w:numPr>
              <w:shd w:val="clear" w:color="auto" w:fill="auto"/>
              <w:tabs>
                <w:tab w:val="left" w:pos="410"/>
              </w:tabs>
              <w:bidi w:val="0"/>
              <w:spacing w:before="0" w:after="0" w:line="284"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存在三级安全教育和培训考核不合格上岗员工的，</w:t>
            </w:r>
            <w:r>
              <w:rPr>
                <w:rFonts w:hint="eastAsia" w:ascii="宋体" w:hAnsi="宋体" w:eastAsia="宋体"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eastAsia="宋体"/>
                <w:lang w:val="en-US" w:eastAsia="zh-CN"/>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三级安全教育和培训学时</w:t>
            </w:r>
            <w:r>
              <w:rPr>
                <w:rFonts w:hint="eastAsia" w:ascii="宋体" w:hAnsi="宋体" w:eastAsia="宋体" w:cs="宋体"/>
                <w:color w:val="000000"/>
                <w:spacing w:val="0"/>
                <w:w w:val="100"/>
                <w:position w:val="0"/>
                <w:sz w:val="21"/>
                <w:szCs w:val="21"/>
                <w:lang w:val="en-US" w:eastAsia="zh-CN"/>
              </w:rPr>
              <w:t>不够</w:t>
            </w:r>
            <w:r>
              <w:rPr>
                <w:rFonts w:hint="eastAsia" w:ascii="宋体" w:hAnsi="宋体" w:eastAsia="宋体" w:cs="宋体"/>
                <w:color w:val="000000"/>
                <w:spacing w:val="0"/>
                <w:w w:val="100"/>
                <w:position w:val="0"/>
                <w:sz w:val="21"/>
                <w:szCs w:val="21"/>
              </w:rPr>
              <w:t>的，</w:t>
            </w:r>
            <w:r>
              <w:rPr>
                <w:rFonts w:hint="eastAsia" w:ascii="宋体" w:hAnsi="宋体" w:eastAsia="宋体" w:cs="宋体"/>
                <w:color w:val="000000"/>
                <w:spacing w:val="0"/>
                <w:w w:val="100"/>
                <w:position w:val="0"/>
                <w:sz w:val="21"/>
                <w:szCs w:val="21"/>
                <w:lang w:val="en-US"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对从业人员进行安全生产教育和培训，使从业人员具备必要的安全生产知识，熟悉有关的安全生产规章制度和安全操作规程，掌握本岗位的安全操作技能。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w:t>
            </w:r>
          </w:p>
        </w:tc>
        <w:tc>
          <w:tcPr>
            <w:tcW w:w="3341" w:type="dxa"/>
            <w:tcBorders>
              <w:tl2br w:val="nil"/>
              <w:tr2bl w:val="nil"/>
            </w:tcBorders>
            <w:shd w:val="clear" w:color="auto" w:fill="auto"/>
            <w:tcMar>
              <w:top w:w="75" w:type="dxa"/>
              <w:left w:w="90" w:type="dxa"/>
              <w:bottom w:w="75" w:type="dxa"/>
              <w:right w:w="90" w:type="dxa"/>
            </w:tcMar>
            <w:vAlign w:val="center"/>
          </w:tcPr>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textAlignment w:val="auto"/>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第二十八条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r>
              <w:rPr>
                <w:rFonts w:hint="eastAsia" w:ascii="Times New Roman" w:hAnsi="Times New Roman" w:eastAsia="宋体" w:cs="Times New Roman"/>
                <w:color w:val="auto"/>
                <w:kern w:val="0"/>
                <w:sz w:val="22"/>
                <w:szCs w:val="22"/>
                <w:lang w:val="en-US" w:eastAsia="zh-CN" w:bidi="ar"/>
              </w:rPr>
              <w:t>”</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eastAsia="zh-Hans"/>
                <w14:textFill>
                  <w14:solidFill>
                    <w14:schemeClr w14:val="tx1"/>
                  </w14:solidFill>
                </w14:textFill>
              </w:rPr>
            </w:pPr>
            <w:r>
              <w:rPr>
                <w:rFonts w:hint="eastAsia"/>
                <w:color w:val="000000" w:themeColor="text1"/>
                <w:sz w:val="22"/>
                <w:szCs w:val="22"/>
                <w:lang w:val="en-US" w:eastAsia="zh-CN"/>
                <w14:textFill>
                  <w14:solidFill>
                    <w14:schemeClr w14:val="tx1"/>
                  </w14:solidFill>
                </w14:textFill>
              </w:rPr>
              <w:t>1.</w:t>
            </w:r>
            <w:r>
              <w:rPr>
                <w:rFonts w:hint="eastAsia"/>
                <w:color w:val="000000" w:themeColor="text1"/>
                <w:sz w:val="22"/>
                <w:szCs w:val="22"/>
                <w:lang w:val="en-US" w:eastAsia="zh-Hans"/>
                <w14:textFill>
                  <w14:solidFill>
                    <w14:schemeClr w14:val="tx1"/>
                  </w14:solidFill>
                </w14:textFill>
              </w:rPr>
              <w:t>企业有</w:t>
            </w:r>
            <w:r>
              <w:rPr>
                <w:rFonts w:hint="default"/>
                <w:color w:val="000000" w:themeColor="text1"/>
                <w:sz w:val="22"/>
                <w:szCs w:val="22"/>
                <w:lang w:val="en-US" w:eastAsia="zh-CN"/>
                <w14:textFill>
                  <w14:solidFill>
                    <w14:schemeClr w14:val="tx1"/>
                  </w14:solidFill>
                </w14:textFill>
              </w:rPr>
              <w:t>未进行岗前安全培训教育，</w:t>
            </w:r>
            <w:r>
              <w:rPr>
                <w:rFonts w:hint="eastAsia"/>
                <w:color w:val="000000" w:themeColor="text1"/>
                <w:sz w:val="22"/>
                <w:szCs w:val="22"/>
                <w:lang w:val="en-US" w:eastAsia="zh-Hans"/>
                <w14:textFill>
                  <w14:solidFill>
                    <w14:schemeClr w14:val="tx1"/>
                  </w14:solidFill>
                </w14:textFill>
              </w:rPr>
              <w:t>直接上岗的人员</w:t>
            </w:r>
            <w:r>
              <w:rPr>
                <w:rFonts w:hint="default"/>
                <w:color w:val="000000" w:themeColor="text1"/>
                <w:sz w:val="22"/>
                <w:szCs w:val="22"/>
                <w:lang w:eastAsia="zh-Hans"/>
                <w14:textFill>
                  <w14:solidFill>
                    <w14:schemeClr w14:val="tx1"/>
                  </w14:solidFill>
                </w14:textFill>
              </w:rPr>
              <w:t>，不符合；</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2.</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岗前培训内容</w:t>
            </w:r>
            <w:r>
              <w:rPr>
                <w:rFonts w:hint="eastAsia" w:cstheme="minorBidi"/>
                <w:color w:val="000000" w:themeColor="text1"/>
                <w:kern w:val="2"/>
                <w:sz w:val="22"/>
                <w:szCs w:val="22"/>
                <w:lang w:val="en-US" w:eastAsia="zh-CN" w:bidi="ar-SA"/>
                <w14:textFill>
                  <w14:solidFill>
                    <w14:schemeClr w14:val="tx1"/>
                  </w14:solidFill>
                </w14:textFill>
              </w:rPr>
              <w:t>和学时</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达不到本行业和本单位的相关要求的</w:t>
            </w:r>
            <w:r>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t>，</w:t>
            </w:r>
            <w:r>
              <w:rPr>
                <w:rFonts w:hint="eastAsia" w:asciiTheme="minorHAnsi" w:hAnsiTheme="minorHAnsi" w:eastAsiaTheme="minorEastAsia" w:cstheme="minorBidi"/>
                <w:color w:val="000000" w:themeColor="text1"/>
                <w:kern w:val="2"/>
                <w:sz w:val="22"/>
                <w:szCs w:val="22"/>
                <w:lang w:val="en-US" w:eastAsia="zh-Hans" w:bidi="ar-SA"/>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HAnsi" w:hAnsiTheme="minorHAnsi" w:eastAsiaTheme="minorEastAsia" w:cstheme="minorBidi"/>
                <w:color w:val="000000" w:themeColor="text1"/>
                <w:kern w:val="2"/>
                <w:sz w:val="22"/>
                <w:szCs w:val="22"/>
                <w:lang w:eastAsia="zh-Hans" w:bidi="ar-SA"/>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8.4 规范档案</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企业应当建立安全生产教育和培训档案，如实记录安全生产教育和培训的时间、内容、参加人员以及考核结果等情况</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w:t>
            </w:r>
            <w:r>
              <w:rPr>
                <w:rFonts w:hint="default" w:ascii="Times New Roman" w:hAnsi="Times New Roman" w:eastAsia="宋体" w:cs="Times New Roman"/>
                <w:color w:val="auto"/>
                <w:kern w:val="0"/>
                <w:sz w:val="22"/>
                <w:szCs w:val="22"/>
                <w:lang w:val="en-US" w:eastAsia="zh-CN" w:bidi="ar"/>
              </w:rPr>
              <w:t>二十八</w:t>
            </w:r>
            <w:r>
              <w:rPr>
                <w:rFonts w:hint="eastAsia" w:ascii="Times New Roman" w:hAnsi="Times New Roman" w:eastAsia="宋体" w:cs="Times New Roman"/>
                <w:color w:val="auto"/>
                <w:kern w:val="0"/>
                <w:sz w:val="22"/>
                <w:szCs w:val="22"/>
                <w:lang w:val="en-US" w:eastAsia="zh-CN" w:bidi="ar"/>
              </w:rPr>
              <w:t>条规定“生产经营单位应当建立安全生产教育和培训档案，如实记录安全生产教育和培训的时间、内容、参加人员以及考核结果等情况。”</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无教育培训档案记录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2.教育培训档案记录不真实、不准确的（培训的时间、内容、主讲老师、参加人员以及考核结果）</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九、</w:t>
            </w:r>
            <w:r>
              <w:rPr>
                <w:rFonts w:hint="default" w:ascii="Times New Roman" w:hAnsi="Times New Roman" w:eastAsia="宋体" w:cs="Times New Roman"/>
                <w:color w:val="auto"/>
                <w:kern w:val="0"/>
                <w:sz w:val="22"/>
                <w:szCs w:val="22"/>
                <w:lang w:val="en-US" w:eastAsia="zh-CN" w:bidi="ar"/>
              </w:rPr>
              <w:t xml:space="preserve">生产过程管理 </w:t>
            </w:r>
            <w:r>
              <w:rPr>
                <w:rFonts w:hint="eastAsia" w:ascii="Times New Roman" w:hAnsi="Times New Roman" w:eastAsia="宋体" w:cs="Times New Roman"/>
                <w:color w:val="auto"/>
                <w:kern w:val="0"/>
                <w:sz w:val="22"/>
                <w:szCs w:val="22"/>
                <w:lang w:val="en-US" w:eastAsia="zh-CN" w:bidi="ar"/>
              </w:rPr>
              <w:t>160</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9.1 </w:t>
            </w:r>
            <w:r>
              <w:rPr>
                <w:rFonts w:hint="eastAsia" w:ascii="Times New Roman" w:hAnsi="Times New Roman" w:eastAsia="宋体" w:cs="Times New Roman"/>
                <w:color w:val="auto"/>
                <w:kern w:val="0"/>
                <w:sz w:val="22"/>
                <w:szCs w:val="22"/>
                <w:lang w:val="en-US" w:eastAsia="zh-CN" w:bidi="ar"/>
              </w:rPr>
              <w:t>现场作业管理（20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宋体" w:hAnsi="宋体" w:eastAsia="宋体" w:cs="宋体"/>
                <w:color w:val="000000"/>
                <w:spacing w:val="0"/>
                <w:w w:val="100"/>
                <w:position w:val="0"/>
                <w:sz w:val="21"/>
                <w:szCs w:val="21"/>
              </w:rPr>
              <w:t>企业应严格执行操作规程和安全生产作业规定，严禁违章指挥、违章操作、违反劳动纪律，正确使用安全防护用具</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25"/>
              </w:tabs>
              <w:bidi w:val="0"/>
              <w:spacing w:before="0" w:after="0" w:line="281" w:lineRule="exact"/>
              <w:ind w:right="0" w:rightChars="0"/>
              <w:jc w:val="both"/>
              <w:rPr>
                <w:rFonts w:hint="default" w:ascii="Times New Roman" w:hAnsi="Times New Roman" w:eastAsia="宋体" w:cs="Times New Roman"/>
                <w:strike w:val="0"/>
                <w:dstrike w:val="0"/>
                <w:color w:val="auto"/>
                <w:kern w:val="0"/>
                <w:sz w:val="22"/>
                <w:szCs w:val="22"/>
                <w:lang w:val="en-US" w:eastAsia="zh-CN" w:bidi="ar"/>
              </w:rPr>
            </w:pPr>
            <w:r>
              <w:rPr>
                <w:rFonts w:hint="eastAsia" w:ascii="宋体" w:hAnsi="宋体" w:eastAsia="宋体" w:cs="宋体"/>
                <w:color w:val="000000"/>
                <w:spacing w:val="0"/>
                <w:w w:val="100"/>
                <w:position w:val="0"/>
                <w:sz w:val="21"/>
                <w:szCs w:val="21"/>
              </w:rPr>
              <w:t>《中华人民共和国安全生产法》第五十</w:t>
            </w:r>
            <w:r>
              <w:rPr>
                <w:rFonts w:hint="eastAsia" w:ascii="宋体" w:hAnsi="宋体" w:eastAsia="宋体" w:cs="宋体"/>
                <w:color w:val="000000"/>
                <w:spacing w:val="0"/>
                <w:w w:val="100"/>
                <w:position w:val="0"/>
                <w:sz w:val="21"/>
                <w:szCs w:val="21"/>
                <w:lang w:val="en-US" w:eastAsia="zh-CN"/>
              </w:rPr>
              <w:t>七</w:t>
            </w:r>
            <w:r>
              <w:rPr>
                <w:rFonts w:hint="eastAsia" w:ascii="宋体" w:hAnsi="宋体" w:eastAsia="宋体" w:cs="宋体"/>
                <w:color w:val="000000"/>
                <w:spacing w:val="0"/>
                <w:w w:val="100"/>
                <w:position w:val="0"/>
                <w:sz w:val="21"/>
                <w:szCs w:val="21"/>
              </w:rPr>
              <w:t>条规定:从业人员在作业过程中，应当严格遵守本単位的安全生产规章制度和操作规程，服从管理，正确佩戴和使用劳动防护用品；</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strike w:val="0"/>
                <w:dstrike w:val="0"/>
                <w:color w:val="auto"/>
                <w:kern w:val="2"/>
                <w:sz w:val="22"/>
                <w:szCs w:val="22"/>
                <w:lang w:val="en-US" w:eastAsia="zh-CN" w:bidi="ar-SA"/>
              </w:rPr>
            </w:pPr>
            <w:r>
              <w:rPr>
                <w:rFonts w:hint="eastAsia" w:ascii="Times New Roman" w:hAnsi="Times New Roman" w:eastAsia="宋体" w:cs="Times New Roman"/>
                <w:strike w:val="0"/>
                <w:dstrike w:val="0"/>
                <w:color w:val="auto"/>
                <w:kern w:val="0"/>
                <w:sz w:val="22"/>
                <w:szCs w:val="22"/>
                <w:lang w:val="en-US" w:eastAsia="zh-CN" w:bidi="ar"/>
              </w:rPr>
              <w:t>5</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46"/>
              </w:tabs>
              <w:bidi w:val="0"/>
              <w:spacing w:before="0" w:after="0" w:line="275"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现场存在违章指挥、违章操作和违反劳动纪律行为的，每人次扣</w:t>
            </w:r>
            <w:r>
              <w:rPr>
                <w:rFonts w:hint="eastAsia" w:ascii="宋体" w:hAnsi="宋体" w:eastAsia="宋体" w:cs="宋体"/>
                <w:b/>
                <w:bCs/>
                <w:color w:val="000000"/>
                <w:spacing w:val="0"/>
                <w:w w:val="100"/>
                <w:position w:val="0"/>
                <w:sz w:val="21"/>
                <w:szCs w:val="21"/>
              </w:rPr>
              <w:t>1</w:t>
            </w:r>
            <w:r>
              <w:rPr>
                <w:rFonts w:hint="eastAsia" w:ascii="宋体" w:hAnsi="宋体" w:eastAsia="宋体" w:cs="宋体"/>
                <w:color w:val="000000"/>
                <w:spacing w:val="0"/>
                <w:w w:val="100"/>
                <w:position w:val="0"/>
                <w:sz w:val="21"/>
                <w:szCs w:val="21"/>
              </w:rPr>
              <w:t>分，最高扣</w:t>
            </w:r>
            <w:r>
              <w:rPr>
                <w:rFonts w:hint="eastAsia" w:ascii="宋体" w:hAnsi="宋体" w:eastAsia="宋体" w:cs="宋体"/>
                <w:b/>
                <w:bCs/>
                <w:color w:val="000000"/>
                <w:spacing w:val="0"/>
                <w:w w:val="100"/>
                <w:position w:val="0"/>
                <w:sz w:val="21"/>
                <w:szCs w:val="21"/>
              </w:rPr>
              <w:t>5</w:t>
            </w:r>
            <w:r>
              <w:rPr>
                <w:rFonts w:hint="eastAsia" w:ascii="宋体" w:hAnsi="宋体" w:eastAsia="宋体" w:cs="宋体"/>
                <w:color w:val="000000"/>
                <w:spacing w:val="0"/>
                <w:w w:val="100"/>
                <w:position w:val="0"/>
                <w:sz w:val="21"/>
                <w:szCs w:val="21"/>
              </w:rPr>
              <w:t>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strike w:val="0"/>
                <w:dstrike w:val="0"/>
                <w:color w:val="auto"/>
                <w:sz w:val="22"/>
                <w:szCs w:val="22"/>
                <w:lang w:val="en-US"/>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未使用或未正确使用防护用具的，每人次扣</w:t>
            </w:r>
            <w:r>
              <w:rPr>
                <w:rFonts w:hint="eastAsia" w:ascii="宋体" w:hAnsi="宋体" w:eastAsia="宋体" w:cs="宋体"/>
                <w:b/>
                <w:bCs/>
                <w:color w:val="000000"/>
                <w:spacing w:val="0"/>
                <w:w w:val="100"/>
                <w:position w:val="0"/>
                <w:sz w:val="21"/>
                <w:szCs w:val="21"/>
              </w:rPr>
              <w:t>1</w:t>
            </w:r>
            <w:r>
              <w:rPr>
                <w:rFonts w:hint="eastAsia" w:ascii="宋体" w:hAnsi="宋体" w:eastAsia="宋体" w:cs="宋体"/>
                <w:color w:val="000000"/>
                <w:spacing w:val="0"/>
                <w:w w:val="100"/>
                <w:position w:val="0"/>
                <w:sz w:val="21"/>
                <w:szCs w:val="21"/>
              </w:rPr>
              <w:t>分,最高扣</w:t>
            </w:r>
            <w:r>
              <w:rPr>
                <w:rFonts w:hint="eastAsia" w:ascii="宋体" w:hAnsi="宋体" w:eastAsia="宋体" w:cs="宋体"/>
                <w:b/>
                <w:bCs/>
                <w:color w:val="000000"/>
                <w:spacing w:val="0"/>
                <w:w w:val="100"/>
                <w:position w:val="0"/>
                <w:sz w:val="21"/>
                <w:szCs w:val="21"/>
              </w:rPr>
              <w:t>5</w:t>
            </w:r>
            <w:r>
              <w:rPr>
                <w:rFonts w:hint="eastAsia" w:ascii="宋体" w:hAnsi="宋体" w:eastAsia="宋体" w:cs="宋体"/>
                <w:color w:val="000000"/>
                <w:spacing w:val="0"/>
                <w:w w:val="100"/>
                <w:position w:val="0"/>
                <w:sz w:val="21"/>
                <w:szCs w:val="21"/>
              </w:rPr>
              <w:t>分</w:t>
            </w:r>
            <w:r>
              <w:rPr>
                <w:rFonts w:hint="eastAsia" w:ascii="Times New Roman" w:hAnsi="Times New Roman" w:eastAsia="宋体" w:cs="Times New Roman"/>
                <w:strike w:val="0"/>
                <w:dstrike w:val="0"/>
                <w:color w:val="auto"/>
                <w:kern w:val="0"/>
                <w:sz w:val="22"/>
                <w:szCs w:val="22"/>
                <w:lang w:val="en-US" w:eastAsia="zh-CN" w:bidi="ar"/>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宋体" w:hAnsi="宋体" w:eastAsia="宋体" w:cs="宋体"/>
                <w:color w:val="000000"/>
                <w:spacing w:val="0"/>
                <w:w w:val="100"/>
                <w:position w:val="0"/>
                <w:sz w:val="21"/>
                <w:szCs w:val="21"/>
              </w:rPr>
              <w:t>企业应指定专人对养护、清障救援等危险作业进行现场管理</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对养护、清障施救等危险作业，应当安排专门人员进行现场安全管理，确保操作规程的遵守和安全措施的落实</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5</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39"/>
              </w:tabs>
              <w:bidi w:val="0"/>
              <w:spacing w:before="0" w:after="0" w:line="314"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未指定专人对养护、清障施救等危险作业进行现场管理的，不得分；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未明确危险作业现场安全管理办法的，扣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lang w:val="en-US" w:eastAsia="zh-CN"/>
              </w:rPr>
              <w:t>③</w:t>
            </w:r>
            <w:r>
              <w:rPr>
                <w:rFonts w:hint="eastAsia" w:ascii="宋体" w:hAnsi="宋体" w:eastAsia="宋体" w:cs="宋体"/>
                <w:color w:val="000000"/>
                <w:spacing w:val="0"/>
                <w:w w:val="100"/>
                <w:position w:val="0"/>
                <w:sz w:val="21"/>
                <w:szCs w:val="21"/>
              </w:rPr>
              <w:t>企业在实施需封（占）道的检测、养护、施工等危险性较高作业活动前，应向交通主管部门报备并严格履行审批手续，作业方案应包含危险有害因素分析和安全措施等内容</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rPr>
              <w:t>因工程建设需要占用、挖掘公路，或者跨越、穿越公路架设、增设管线设施的，施工作业单位应当在公路管理机构批准的路段和时间内施工作业，并在距离施工作业地点来车方向安全距离处设置明显的安全警示标志，釆取防护措施;施工完毕，应当及时清除公路上的障碍物,消除安全隐患,经公路管理机构和公安机关交通管理部门验收合格，符合通告要求后，及时恢复通告</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8"/>
              </w:tabs>
              <w:bidi w:val="0"/>
              <w:spacing w:before="0" w:after="0" w:line="331" w:lineRule="exact"/>
              <w:ind w:right="0" w:rightChars="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应对危险性较高作业活动实施作业许可管理，履行审批手续；</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作业方案应包含危害因素分析和安全措施等内容</w:t>
            </w:r>
            <w:r>
              <w:rPr>
                <w:rFonts w:hint="eastAsia" w:ascii="宋体" w:hAnsi="宋体" w:eastAsia="宋体"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lang w:val="en-US" w:eastAsia="zh-CN"/>
              </w:rPr>
              <w:t>每缺少一项扣一分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lang w:val="en-US" w:eastAsia="zh-CN"/>
              </w:rPr>
              <w:t>④</w:t>
            </w:r>
            <w:r>
              <w:rPr>
                <w:rFonts w:hint="eastAsia" w:ascii="宋体" w:hAnsi="宋体" w:eastAsia="宋体" w:cs="宋体"/>
                <w:color w:val="000000"/>
                <w:spacing w:val="0"/>
                <w:w w:val="100"/>
                <w:position w:val="0"/>
                <w:sz w:val="21"/>
                <w:szCs w:val="21"/>
              </w:rPr>
              <w:t>企业应及时公吿施工、检测、清障救援等作业信息，向通行车辆和人员警示、提示</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rPr>
              <w:t>企业应通过公路出入口、沿线可变信息板等设施及时公吿施工、检测、清障施救等作业信息，向同行车辆和人员警示、提示</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r>
              <w:rPr>
                <w:rFonts w:hint="eastAsia" w:ascii="宋体" w:hAnsi="宋体" w:eastAsia="宋体" w:cs="宋体"/>
                <w:color w:val="000000"/>
                <w:spacing w:val="0"/>
                <w:w w:val="100"/>
                <w:position w:val="0"/>
                <w:sz w:val="21"/>
                <w:szCs w:val="21"/>
              </w:rPr>
              <w:t>未及时如实利用可变情报板等媒介公告施工、检测等作业信息的,每次扣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分,最高扣</w:t>
            </w:r>
            <w:r>
              <w:rPr>
                <w:rFonts w:hint="eastAsia" w:ascii="宋体" w:hAnsi="宋体" w:eastAsia="宋体" w:cs="宋体"/>
                <w:b/>
                <w:bCs/>
                <w:color w:val="000000"/>
                <w:spacing w:val="0"/>
                <w:w w:val="100"/>
                <w:position w:val="0"/>
                <w:sz w:val="21"/>
                <w:szCs w:val="21"/>
              </w:rPr>
              <w:t>5</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9.2 </w:t>
            </w:r>
            <w:r>
              <w:rPr>
                <w:rFonts w:hint="eastAsia" w:ascii="Times New Roman" w:hAnsi="Times New Roman" w:eastAsia="宋体" w:cs="Times New Roman"/>
                <w:color w:val="auto"/>
                <w:kern w:val="0"/>
                <w:sz w:val="22"/>
                <w:szCs w:val="22"/>
                <w:lang w:val="en-US" w:eastAsia="zh-CN" w:bidi="ar"/>
              </w:rPr>
              <w:t>安</w:t>
            </w:r>
            <w:r>
              <w:rPr>
                <w:rFonts w:hint="eastAsia" w:ascii="宋体" w:hAnsi="宋体" w:eastAsia="宋体" w:cs="宋体"/>
                <w:color w:val="000000"/>
                <w:spacing w:val="0"/>
                <w:w w:val="100"/>
                <w:position w:val="0"/>
                <w:sz w:val="21"/>
                <w:szCs w:val="21"/>
              </w:rPr>
              <w:t>全</w:t>
            </w:r>
            <w:r>
              <w:rPr>
                <w:rFonts w:hint="eastAsia" w:ascii="宋体" w:hAnsi="宋体" w:eastAsia="宋体" w:cs="宋体"/>
                <w:color w:val="000000"/>
                <w:spacing w:val="0"/>
                <w:w w:val="100"/>
                <w:position w:val="0"/>
                <w:sz w:val="21"/>
                <w:szCs w:val="21"/>
                <w:lang w:val="en-US" w:eastAsia="zh-CN"/>
              </w:rPr>
              <w:t>值守</w:t>
            </w:r>
            <w:r>
              <w:rPr>
                <w:rFonts w:hint="eastAsia" w:ascii="Times New Roman" w:hAnsi="Times New Roman" w:eastAsia="宋体" w:cs="Times New Roman"/>
                <w:color w:val="auto"/>
                <w:kern w:val="0"/>
                <w:sz w:val="22"/>
                <w:szCs w:val="22"/>
                <w:lang w:val="en-US" w:eastAsia="zh-CN" w:bidi="ar"/>
              </w:rPr>
              <w:t>（5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spacing w:val="0"/>
                <w:w w:val="100"/>
                <w:position w:val="0"/>
                <w:sz w:val="21"/>
                <w:szCs w:val="21"/>
              </w:rPr>
              <w:t>企业应制定并落实安全生产值班制和值班计划，重要时期实行领导到岗带班，有值班记录台账</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7" w:lineRule="exact"/>
              <w:ind w:left="0" w:leftChars="0" w:right="0" w:firstLine="0" w:firstLine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企业应制定落实安全生产值班计划和值班制度，重要时期实行领导到岗带班，有值班记录台账。</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《国务院关于进一步加强企业安全生产工作的通知》要求，重要时期企业主要负责人和领导班子成员要轮流现场带班</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54"/>
              </w:tabs>
              <w:bidi w:val="0"/>
              <w:spacing w:before="0" w:after="0" w:line="328"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未制定值班、带班计划和值班、带班制度的，扣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p>
            <w:pPr>
              <w:pStyle w:val="40"/>
              <w:keepNext w:val="0"/>
              <w:keepLines w:val="0"/>
              <w:widowControl w:val="0"/>
              <w:numPr>
                <w:ilvl w:val="0"/>
                <w:numId w:val="0"/>
              </w:numPr>
              <w:shd w:val="clear" w:color="auto" w:fill="auto"/>
              <w:tabs>
                <w:tab w:val="left" w:pos="410"/>
              </w:tabs>
              <w:bidi w:val="0"/>
              <w:spacing w:before="0" w:after="0" w:line="328" w:lineRule="exact"/>
              <w:ind w:right="0" w:rightChars="0"/>
              <w:jc w:val="left"/>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重要时期领导未到岗带班的，扣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未建立值班、带班记录台账的，扣</w:t>
            </w:r>
            <w:r>
              <w:rPr>
                <w:rFonts w:hint="eastAsia" w:ascii="宋体" w:hAnsi="宋体" w:eastAsia="宋体" w:cs="宋体"/>
                <w:b/>
                <w:bCs/>
                <w:color w:val="000000"/>
                <w:spacing w:val="0"/>
                <w:w w:val="100"/>
                <w:position w:val="0"/>
                <w:sz w:val="21"/>
                <w:szCs w:val="21"/>
              </w:rPr>
              <w:t>1</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 xml:space="preserve">9.3 </w:t>
            </w:r>
            <w:r>
              <w:rPr>
                <w:rFonts w:hint="eastAsia" w:ascii="Times New Roman" w:hAnsi="Times New Roman" w:eastAsia="宋体" w:cs="Times New Roman"/>
                <w:color w:val="auto"/>
                <w:kern w:val="0"/>
                <w:sz w:val="22"/>
                <w:szCs w:val="22"/>
                <w:highlight w:val="none"/>
                <w:lang w:val="en-US" w:eastAsia="zh-CN" w:bidi="ar"/>
              </w:rPr>
              <w:t>相关方管理（10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宋体" w:hAnsi="宋体" w:eastAsia="宋体" w:cs="宋体"/>
                <w:color w:val="000000"/>
                <w:spacing w:val="0"/>
                <w:w w:val="100"/>
                <w:position w:val="0"/>
                <w:sz w:val="21"/>
                <w:szCs w:val="21"/>
              </w:rPr>
              <w:t>企业应明确和执行对公路养护单位、服务区服务项目经营者、承包商及其他相关方的安全管理制度，在其服务活动中签订并保存安全协议，明确双方安全责任和安全管理要求</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rPr>
            </w:pPr>
            <w:r>
              <w:rPr>
                <w:rFonts w:hint="eastAsia"/>
                <w:lang w:val="en-US" w:eastAsia="zh-CN"/>
              </w:rPr>
              <w:t>1.</w:t>
            </w:r>
            <w:r>
              <w:rPr>
                <w:rFonts w:hint="eastAsia"/>
              </w:rPr>
              <w:t>企业应建立和完善外协、外包等相关方的安全管理制度，对相关方安全生产许可证、资质、资格符合法律法规相关要求进行审</w:t>
            </w:r>
            <w:r>
              <w:rPr>
                <w:rFonts w:hint="eastAsia"/>
                <w:lang w:eastAsia="zh-CN"/>
              </w:rPr>
              <w:t>查</w:t>
            </w:r>
            <w:r>
              <w:rPr>
                <w:rFonts w:hint="eastAsia"/>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rPr>
            </w:pPr>
            <w:r>
              <w:rPr>
                <w:rFonts w:hint="eastAsia"/>
                <w:lang w:val="en-US" w:eastAsia="zh-CN"/>
              </w:rPr>
              <w:t>2.</w:t>
            </w:r>
            <w:r>
              <w:rPr>
                <w:rFonts w:hint="eastAsia"/>
              </w:rPr>
              <w:t>在与协作单位签订合同的同时,还应签订安全生产协议，明确双方各自的安全责任、安全管辖范围以及联系人等。</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rPr>
            </w:pPr>
            <w:r>
              <w:rPr>
                <w:rFonts w:hint="eastAsia"/>
                <w:lang w:val="en-US" w:eastAsia="zh-CN"/>
              </w:rPr>
              <w:t>3.</w:t>
            </w:r>
            <w:r>
              <w:rPr>
                <w:rFonts w:hint="eastAsia"/>
              </w:rPr>
              <w:t>安全生产协议应使各单位对该作业区域安全生产状况有一个整体的把握，做到职责清楚，分工明确</w:t>
            </w:r>
          </w:p>
          <w:p>
            <w:pPr>
              <w:pStyle w:val="2"/>
              <w:ind w:left="0" w:leftChars="0" w:firstLine="0" w:firstLineChars="0"/>
              <w:rPr>
                <w:rFonts w:hint="default"/>
                <w:lang w:val="en-US" w:eastAsia="zh-CN"/>
              </w:rPr>
            </w:pPr>
            <w:r>
              <w:rPr>
                <w:rFonts w:hint="eastAsia" w:ascii="宋体" w:hAnsi="宋体" w:eastAsia="宋体" w:cs="宋体"/>
                <w:color w:val="000000"/>
                <w:spacing w:val="0"/>
                <w:w w:val="100"/>
                <w:position w:val="0"/>
                <w:sz w:val="21"/>
                <w:szCs w:val="21"/>
                <w:lang w:val="en-US" w:eastAsia="zh-CN"/>
              </w:rPr>
              <w:t>4.</w:t>
            </w:r>
            <w:r>
              <w:rPr>
                <w:rFonts w:hint="eastAsia" w:ascii="宋体" w:hAnsi="宋体" w:eastAsia="宋体" w:cs="宋体"/>
                <w:color w:val="000000"/>
                <w:spacing w:val="0"/>
                <w:w w:val="100"/>
                <w:position w:val="0"/>
                <w:sz w:val="21"/>
                <w:szCs w:val="21"/>
              </w:rPr>
              <w:t>对相关方实施安全监督管理</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default" w:ascii="Times New Roman" w:hAnsi="Times New Roman" w:eastAsia="宋体" w:cs="Times New Roman"/>
                <w:color w:val="auto"/>
                <w:kern w:val="0"/>
                <w:sz w:val="22"/>
                <w:szCs w:val="22"/>
                <w:lang w:val="en-US" w:eastAsia="zh-CN" w:bidi="ar"/>
              </w:rPr>
              <w:t>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0"/>
              </w:tabs>
              <w:bidi w:val="0"/>
              <w:spacing w:before="0" w:after="0" w:line="328" w:lineRule="exact"/>
              <w:ind w:right="0" w:rightChars="0"/>
              <w:jc w:val="left"/>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未制定相关方准入机制和管理制度，</w:t>
            </w:r>
            <w:r>
              <w:rPr>
                <w:rFonts w:hint="eastAsia"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p>
            <w:pPr>
              <w:pStyle w:val="40"/>
              <w:keepNext w:val="0"/>
              <w:keepLines w:val="0"/>
              <w:widowControl w:val="0"/>
              <w:numPr>
                <w:ilvl w:val="0"/>
                <w:numId w:val="0"/>
              </w:numPr>
              <w:shd w:val="clear" w:color="auto" w:fill="auto"/>
              <w:tabs>
                <w:tab w:val="left" w:pos="410"/>
              </w:tabs>
              <w:bidi w:val="0"/>
              <w:spacing w:before="0" w:after="0" w:line="328" w:lineRule="exact"/>
              <w:ind w:right="0" w:rightChars="0"/>
              <w:jc w:val="left"/>
              <w:rPr>
                <w:rFonts w:hint="eastAsia" w:ascii="宋体" w:hAnsi="宋体" w:eastAsia="宋体" w:cs="宋体"/>
                <w:color w:val="000000"/>
                <w:spacing w:val="0"/>
                <w:w w:val="100"/>
                <w:position w:val="0"/>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未与相关方签订安全协议，</w:t>
            </w:r>
            <w:r>
              <w:rPr>
                <w:rFonts w:hint="eastAsia"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eastAsiaTheme="minorEastAsia"/>
                <w:lang w:val="en-US" w:eastAsia="zh-CN"/>
              </w:rPr>
            </w:pPr>
            <w:r>
              <w:rPr>
                <w:rFonts w:hint="eastAsia"/>
                <w:lang w:val="en-US" w:eastAsia="zh-CN"/>
              </w:rPr>
              <w:t>3.</w:t>
            </w:r>
            <w:r>
              <w:rPr>
                <w:rFonts w:hint="eastAsia"/>
              </w:rPr>
              <w:t>协议未明确双方各自的安全责任的，</w:t>
            </w:r>
            <w:r>
              <w:rPr>
                <w:rFonts w:hint="eastAsia"/>
                <w:lang w:val="en-US" w:eastAsia="zh-CN"/>
              </w:rPr>
              <w:t>不符合</w:t>
            </w:r>
          </w:p>
          <w:p>
            <w:pPr>
              <w:pStyle w:val="40"/>
              <w:keepNext w:val="0"/>
              <w:keepLines w:val="0"/>
              <w:widowControl w:val="0"/>
              <w:numPr>
                <w:ilvl w:val="0"/>
                <w:numId w:val="0"/>
              </w:numPr>
              <w:shd w:val="clear" w:color="auto" w:fill="auto"/>
              <w:tabs>
                <w:tab w:val="left" w:pos="410"/>
              </w:tabs>
              <w:bidi w:val="0"/>
              <w:spacing w:before="0" w:after="0" w:line="310" w:lineRule="exact"/>
              <w:ind w:right="0" w:rightChars="0"/>
              <w:jc w:val="both"/>
              <w:rPr>
                <w:rFonts w:hint="default"/>
              </w:rPr>
            </w:pPr>
            <w:r>
              <w:rPr>
                <w:rFonts w:hint="eastAsia" w:ascii="宋体" w:hAnsi="宋体" w:eastAsia="宋体" w:cs="宋体"/>
                <w:color w:val="000000"/>
                <w:spacing w:val="0"/>
                <w:w w:val="100"/>
                <w:position w:val="0"/>
                <w:sz w:val="21"/>
                <w:szCs w:val="21"/>
                <w:lang w:val="en-US" w:eastAsia="zh-CN"/>
              </w:rPr>
              <w:t>4.</w:t>
            </w:r>
            <w:r>
              <w:rPr>
                <w:rFonts w:hint="eastAsia" w:ascii="宋体" w:hAnsi="宋体" w:eastAsia="宋体" w:cs="宋体"/>
                <w:color w:val="000000"/>
                <w:spacing w:val="0"/>
                <w:w w:val="100"/>
                <w:position w:val="0"/>
                <w:sz w:val="21"/>
                <w:szCs w:val="21"/>
              </w:rPr>
              <w:t>未对相关方</w:t>
            </w:r>
            <w:r>
              <w:rPr>
                <w:rFonts w:hint="eastAsia" w:ascii="宋体" w:hAnsi="宋体" w:eastAsia="宋体" w:cs="宋体"/>
                <w:color w:val="000000"/>
                <w:spacing w:val="0"/>
                <w:w w:val="100"/>
                <w:position w:val="0"/>
                <w:sz w:val="21"/>
                <w:szCs w:val="21"/>
                <w:lang w:val="en-US" w:eastAsia="zh-CN"/>
              </w:rPr>
              <w:t>进行</w:t>
            </w:r>
            <w:r>
              <w:rPr>
                <w:rFonts w:hint="eastAsia" w:ascii="宋体" w:hAnsi="宋体" w:eastAsia="宋体" w:cs="宋体"/>
                <w:color w:val="000000"/>
                <w:spacing w:val="0"/>
                <w:w w:val="100"/>
                <w:position w:val="0"/>
                <w:sz w:val="21"/>
                <w:szCs w:val="21"/>
              </w:rPr>
              <w:t>安全监督管理的，</w:t>
            </w:r>
            <w:r>
              <w:rPr>
                <w:rFonts w:hint="eastAsia" w:ascii="宋体" w:hAnsi="宋体" w:eastAsia="宋体" w:cs="宋体"/>
                <w:color w:val="000000"/>
                <w:spacing w:val="0"/>
                <w:w w:val="100"/>
                <w:position w:val="0"/>
                <w:sz w:val="21"/>
                <w:szCs w:val="21"/>
                <w:lang w:val="en-US" w:eastAsia="zh-CN"/>
              </w:rPr>
              <w:t>不符合</w:t>
            </w:r>
            <w:r>
              <w:rPr>
                <w:rFonts w:hint="eastAsia" w:ascii="宋体" w:hAnsi="宋体" w:eastAsia="宋体" w:cs="宋体"/>
                <w:color w:val="000000"/>
                <w:spacing w:val="0"/>
                <w:w w:val="100"/>
                <w:position w:val="0"/>
                <w:sz w:val="21"/>
                <w:szCs w:val="21"/>
              </w:rPr>
              <w:t>；</w:t>
            </w:r>
          </w:p>
        </w:tc>
        <w:tc>
          <w:tcPr>
            <w:tcW w:w="139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0"/>
              </w:tabs>
              <w:bidi w:val="0"/>
              <w:spacing w:before="0" w:after="0" w:line="310" w:lineRule="exact"/>
              <w:ind w:right="0" w:rightChars="0"/>
              <w:jc w:val="both"/>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0"/>
              </w:tabs>
              <w:bidi w:val="0"/>
              <w:spacing w:before="0" w:after="0" w:line="310" w:lineRule="exact"/>
              <w:ind w:right="0" w:rightChars="0"/>
              <w:jc w:val="both"/>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49"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220" w:firstLineChars="100"/>
              <w:jc w:val="left"/>
              <w:rPr>
                <w:rFonts w:hint="eastAsia" w:ascii="Times New Roman" w:hAnsi="Times New Roman" w:eastAsia="宋体" w:cs="Times New Roman"/>
                <w:color w:val="auto"/>
                <w:sz w:val="22"/>
                <w:szCs w:val="22"/>
                <w:highlight w:val="none"/>
                <w:lang w:val="en-US" w:eastAsia="zh-CN"/>
              </w:rPr>
            </w:pPr>
            <w:r>
              <w:rPr>
                <w:rFonts w:hint="default" w:ascii="Times New Roman" w:hAnsi="Times New Roman" w:eastAsia="宋体" w:cs="Times New Roman"/>
                <w:color w:val="auto"/>
                <w:kern w:val="0"/>
                <w:sz w:val="22"/>
                <w:szCs w:val="22"/>
                <w:lang w:val="en-US" w:eastAsia="zh-CN" w:bidi="ar"/>
              </w:rPr>
              <w:t>9.</w:t>
            </w:r>
            <w:r>
              <w:rPr>
                <w:rFonts w:hint="eastAsia" w:ascii="Times New Roman" w:hAnsi="Times New Roman" w:eastAsia="宋体" w:cs="Times New Roman"/>
                <w:color w:val="auto"/>
                <w:kern w:val="0"/>
                <w:sz w:val="22"/>
                <w:szCs w:val="22"/>
                <w:lang w:val="en-US" w:eastAsia="zh-CN" w:bidi="ar"/>
              </w:rPr>
              <w:t>4工作环境（5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工作、生活场所的布置符合安全、消防和职业健康要求，疏散距离合理，消防通道畅通，各种设施布局合理</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宋体" w:hAnsi="宋体" w:eastAsia="宋体" w:cs="宋体"/>
                <w:color w:val="000000"/>
                <w:spacing w:val="0"/>
                <w:w w:val="100"/>
                <w:position w:val="0"/>
                <w:sz w:val="21"/>
                <w:szCs w:val="21"/>
              </w:rPr>
              <w:t>企业应当为劳动者创造符合国家职业卫生标准和卫生要求的工作环境和条件，并采取措施保障劳动者获得职业卫生保护</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工作、生活场所的布置不符合安全、消防和职业健康要求的,每处扣</w:t>
            </w:r>
            <w:r>
              <w:rPr>
                <w:rFonts w:hint="eastAsia" w:ascii="宋体" w:hAnsi="宋体" w:eastAsia="宋体" w:cs="宋体"/>
                <w:b/>
                <w:bCs/>
                <w:color w:val="000000"/>
                <w:spacing w:val="0"/>
                <w:w w:val="100"/>
                <w:position w:val="0"/>
                <w:sz w:val="21"/>
                <w:szCs w:val="21"/>
              </w:rPr>
              <w:t>1</w:t>
            </w:r>
            <w:r>
              <w:rPr>
                <w:rFonts w:hint="eastAsia" w:ascii="宋体" w:hAnsi="宋体" w:eastAsia="宋体" w:cs="宋体"/>
                <w:color w:val="000000"/>
                <w:spacing w:val="0"/>
                <w:w w:val="100"/>
                <w:position w:val="0"/>
                <w:sz w:val="21"/>
                <w:szCs w:val="21"/>
              </w:rPr>
              <w:t>分，最高扣</w:t>
            </w:r>
            <w:r>
              <w:rPr>
                <w:rFonts w:hint="eastAsia" w:ascii="宋体" w:hAnsi="宋体" w:eastAsia="宋体" w:cs="宋体"/>
                <w:b/>
                <w:bCs/>
                <w:color w:val="000000"/>
                <w:spacing w:val="0"/>
                <w:w w:val="100"/>
                <w:position w:val="0"/>
                <w:sz w:val="21"/>
                <w:szCs w:val="21"/>
              </w:rPr>
              <w:t>5</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宋体" w:hAnsi="宋体" w:eastAsia="宋体" w:cs="宋体"/>
                <w:color w:val="000000"/>
                <w:spacing w:val="0"/>
                <w:w w:val="100"/>
                <w:position w:val="0"/>
                <w:sz w:val="21"/>
                <w:szCs w:val="21"/>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eastAsia" w:ascii="宋体" w:hAnsi="宋体" w:eastAsia="宋体" w:cs="宋体"/>
                <w:color w:val="000000"/>
                <w:spacing w:val="0"/>
                <w:w w:val="100"/>
                <w:position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9.</w:t>
            </w:r>
            <w:r>
              <w:rPr>
                <w:rFonts w:hint="eastAsia" w:ascii="Times New Roman" w:hAnsi="Times New Roman" w:eastAsia="宋体" w:cs="Times New Roman"/>
                <w:color w:val="auto"/>
                <w:kern w:val="0"/>
                <w:sz w:val="22"/>
                <w:szCs w:val="22"/>
                <w:highlight w:val="none"/>
                <w:lang w:val="en-US" w:eastAsia="zh-CN" w:bidi="ar"/>
              </w:rPr>
              <w:t>5</w:t>
            </w:r>
            <w:r>
              <w:rPr>
                <w:rFonts w:hint="default" w:ascii="Times New Roman" w:hAnsi="Times New Roman" w:eastAsia="宋体" w:cs="Times New Roman"/>
                <w:color w:val="auto"/>
                <w:kern w:val="0"/>
                <w:sz w:val="22"/>
                <w:szCs w:val="22"/>
                <w:lang w:val="en-US" w:eastAsia="zh-CN" w:bidi="ar"/>
              </w:rPr>
              <w:t xml:space="preserve"> 警示标志</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56" w:lineRule="exact"/>
              <w:ind w:left="0" w:leftChars="0" w:right="0" w:rightChars="0" w:firstLine="0" w:firstLineChars="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000000"/>
                <w:spacing w:val="0"/>
                <w:w w:val="100"/>
                <w:position w:val="0"/>
                <w:sz w:val="21"/>
                <w:szCs w:val="21"/>
              </w:rPr>
              <w:t>①在存在危险因素的场所和设备设施，应设置明显的安全警示标志，警示、告知危险种类、后果及应急措施</w:t>
            </w:r>
          </w:p>
        </w:tc>
        <w:tc>
          <w:tcPr>
            <w:tcW w:w="3341" w:type="dxa"/>
            <w:tcBorders>
              <w:tl2br w:val="nil"/>
              <w:tr2bl w:val="nil"/>
            </w:tcBorders>
            <w:shd w:val="clear" w:color="auto" w:fill="auto"/>
            <w:tcMar>
              <w:top w:w="75" w:type="dxa"/>
              <w:left w:w="90" w:type="dxa"/>
              <w:bottom w:w="75" w:type="dxa"/>
              <w:right w:w="90" w:type="dxa"/>
            </w:tcMar>
            <w:vAlign w:val="top"/>
          </w:tcPr>
          <w:p>
            <w:pPr>
              <w:pStyle w:val="40"/>
              <w:keepNext w:val="0"/>
              <w:keepLines w:val="0"/>
              <w:widowControl w:val="0"/>
              <w:shd w:val="clear" w:color="auto" w:fill="auto"/>
              <w:bidi w:val="0"/>
              <w:spacing w:before="0" w:after="0" w:line="253"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企业应在较大危险因素的配电房、发电机、机房等场所，可能存在危险因素的机电设备以及变压器、锅炉等设备设施设置明显的安全警示标志,警示、告知危险种类、后果及应急措施。</w:t>
            </w:r>
          </w:p>
          <w:p>
            <w:pPr>
              <w:pStyle w:val="40"/>
              <w:keepNext w:val="0"/>
              <w:keepLines w:val="0"/>
              <w:widowControl w:val="0"/>
              <w:shd w:val="clear" w:color="auto" w:fill="auto"/>
              <w:bidi w:val="0"/>
              <w:spacing w:before="0" w:after="0" w:line="253" w:lineRule="exact"/>
              <w:ind w:left="0" w:leftChars="0" w:right="0" w:rightChars="0" w:firstLine="0" w:firstLineChars="0"/>
              <w:jc w:val="both"/>
              <w:rPr>
                <w:rFonts w:hint="default" w:ascii="Times New Roman" w:hAnsi="Times New Roman" w:eastAsia="宋体" w:cs="Times New Roman"/>
                <w:color w:val="auto"/>
                <w:kern w:val="0"/>
                <w:sz w:val="22"/>
                <w:szCs w:val="22"/>
                <w:highlight w:val="none"/>
                <w:lang w:val="en-US" w:eastAsia="zh-CN" w:bidi="ar"/>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警示标识、标志应符合《安全标志及使用导则》(</w:t>
            </w:r>
            <w:r>
              <w:rPr>
                <w:rFonts w:hint="eastAsia" w:ascii="宋体" w:hAnsi="宋体" w:eastAsia="宋体" w:cs="宋体"/>
                <w:b/>
                <w:bCs/>
                <w:color w:val="000000"/>
                <w:spacing w:val="0"/>
                <w:w w:val="100"/>
                <w:position w:val="0"/>
                <w:sz w:val="21"/>
                <w:szCs w:val="21"/>
                <w:lang w:val="en-US" w:eastAsia="en-US" w:bidi="en-US"/>
              </w:rPr>
              <w:t>GB2894</w:t>
            </w:r>
            <w:r>
              <w:rPr>
                <w:rFonts w:hint="eastAsia" w:cs="宋体"/>
                <w:b/>
                <w:bCs/>
                <w:color w:val="000000"/>
                <w:spacing w:val="0"/>
                <w:w w:val="100"/>
                <w:position w:val="0"/>
                <w:sz w:val="21"/>
                <w:szCs w:val="21"/>
                <w:lang w:val="en-US" w:eastAsia="zh-CN" w:bidi="en-US"/>
              </w:rPr>
              <w:t>-</w:t>
            </w:r>
            <w:r>
              <w:rPr>
                <w:rFonts w:hint="eastAsia" w:ascii="宋体" w:hAnsi="宋体" w:eastAsia="宋体" w:cs="宋体"/>
                <w:b/>
                <w:bCs/>
                <w:color w:val="000000"/>
                <w:spacing w:val="0"/>
                <w:w w:val="100"/>
                <w:position w:val="0"/>
                <w:sz w:val="21"/>
                <w:szCs w:val="21"/>
              </w:rPr>
              <w:t>2008)</w:t>
            </w:r>
            <w:r>
              <w:rPr>
                <w:rFonts w:hint="eastAsia" w:ascii="宋体" w:hAnsi="宋体" w:eastAsia="宋体" w:cs="宋体"/>
                <w:color w:val="000000"/>
                <w:spacing w:val="0"/>
                <w:w w:val="100"/>
                <w:position w:val="0"/>
                <w:sz w:val="21"/>
                <w:szCs w:val="21"/>
              </w:rPr>
              <w:t>、《工作场所舰病危害警示标识》(</w:t>
            </w:r>
            <w:r>
              <w:rPr>
                <w:rFonts w:hint="eastAsia" w:ascii="宋体" w:hAnsi="宋体" w:eastAsia="宋体" w:cs="宋体"/>
                <w:b/>
                <w:bCs/>
                <w:color w:val="000000"/>
                <w:spacing w:val="0"/>
                <w:w w:val="100"/>
                <w:position w:val="0"/>
                <w:sz w:val="21"/>
                <w:szCs w:val="21"/>
                <w:lang w:val="en-US" w:eastAsia="en-US" w:bidi="en-US"/>
              </w:rPr>
              <w:t>GBZ153</w:t>
            </w:r>
            <w:r>
              <w:rPr>
                <w:rFonts w:hint="eastAsia" w:cs="宋体"/>
                <w:b/>
                <w:bCs/>
                <w:color w:val="000000"/>
                <w:spacing w:val="0"/>
                <w:w w:val="100"/>
                <w:position w:val="0"/>
                <w:sz w:val="21"/>
                <w:szCs w:val="21"/>
                <w:lang w:val="en-US" w:eastAsia="zh-CN" w:bidi="en-US"/>
              </w:rPr>
              <w:t>-</w:t>
            </w:r>
            <w:r>
              <w:rPr>
                <w:rFonts w:hint="eastAsia" w:ascii="宋体" w:hAnsi="宋体" w:eastAsia="宋体" w:cs="宋体"/>
                <w:b/>
                <w:bCs/>
                <w:color w:val="000000"/>
                <w:spacing w:val="0"/>
                <w:w w:val="100"/>
                <w:position w:val="0"/>
                <w:sz w:val="21"/>
                <w:szCs w:val="21"/>
              </w:rPr>
              <w:t>2003)</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8"/>
              </w:tabs>
              <w:bidi w:val="0"/>
              <w:spacing w:before="0" w:after="0" w:line="263"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未设置明显安全警示标志的，不得分；</w:t>
            </w:r>
          </w:p>
          <w:p>
            <w:pPr>
              <w:pStyle w:val="40"/>
              <w:keepNext w:val="0"/>
              <w:keepLines w:val="0"/>
              <w:widowControl w:val="0"/>
              <w:numPr>
                <w:ilvl w:val="0"/>
                <w:numId w:val="0"/>
              </w:numPr>
              <w:shd w:val="clear" w:color="auto" w:fill="auto"/>
              <w:tabs>
                <w:tab w:val="left" w:pos="439"/>
              </w:tabs>
              <w:bidi w:val="0"/>
              <w:spacing w:before="0" w:after="0" w:line="263"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未明确危险种类、后果及应急措施的，不得分；</w:t>
            </w:r>
          </w:p>
          <w:p>
            <w:pPr>
              <w:pStyle w:val="40"/>
              <w:keepNext w:val="0"/>
              <w:keepLines w:val="0"/>
              <w:widowControl w:val="0"/>
              <w:numPr>
                <w:ilvl w:val="0"/>
                <w:numId w:val="0"/>
              </w:numPr>
              <w:shd w:val="clear" w:color="auto" w:fill="auto"/>
              <w:tabs>
                <w:tab w:val="left" w:pos="432"/>
              </w:tabs>
              <w:bidi w:val="0"/>
              <w:spacing w:before="0" w:after="0" w:line="259" w:lineRule="exact"/>
              <w:ind w:right="0" w:rightChars="0"/>
              <w:jc w:val="both"/>
              <w:rPr>
                <w:rFonts w:hint="default" w:ascii="Times New Roman" w:hAnsi="Times New Roman" w:eastAsia="宋体" w:cs="Times New Roman"/>
                <w:color w:val="auto"/>
                <w:sz w:val="22"/>
                <w:szCs w:val="22"/>
                <w:highlight w:val="none"/>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标志、标识不符合规范要求的，扣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32"/>
              </w:tabs>
              <w:bidi w:val="0"/>
              <w:spacing w:before="0" w:after="0" w:line="259" w:lineRule="exact"/>
              <w:ind w:right="0" w:rightChars="0"/>
              <w:jc w:val="both"/>
              <w:rPr>
                <w:rFonts w:hint="eastAsia"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32"/>
              </w:tabs>
              <w:bidi w:val="0"/>
              <w:spacing w:before="0" w:after="0" w:line="259" w:lineRule="exact"/>
              <w:ind w:right="0" w:rightChars="0"/>
              <w:jc w:val="both"/>
              <w:rPr>
                <w:rFonts w:hint="eastAsia"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54" w:lineRule="exact"/>
              <w:ind w:left="0" w:leftChars="0" w:right="0" w:rightChars="0" w:firstLine="0" w:firstLineChars="0"/>
              <w:jc w:val="both"/>
              <w:rPr>
                <w:rFonts w:hint="default" w:ascii="Times New Roman" w:hAnsi="Times New Roman" w:eastAsia="宋体" w:cs="Times New Roman"/>
                <w:kern w:val="0"/>
                <w:sz w:val="24"/>
                <w:szCs w:val="24"/>
                <w:lang w:val="en-US" w:eastAsia="zh-CN" w:bidi="ar"/>
              </w:rPr>
            </w:pPr>
            <w:r>
              <w:rPr>
                <w:rFonts w:hint="eastAsia" w:ascii="宋体" w:hAnsi="宋体" w:eastAsia="宋体" w:cs="宋体"/>
                <w:color w:val="000000"/>
                <w:spacing w:val="0"/>
                <w:w w:val="100"/>
                <w:position w:val="0"/>
                <w:sz w:val="21"/>
                <w:szCs w:val="21"/>
              </w:rPr>
              <w:t>②在清障救援、设备设施检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维修、道路养护施工等作业现场按要枣蔥置警戒区域和警示标志</w:t>
            </w:r>
          </w:p>
        </w:tc>
        <w:tc>
          <w:tcPr>
            <w:tcW w:w="3341" w:type="dxa"/>
            <w:tcBorders>
              <w:tl2br w:val="nil"/>
              <w:tr2bl w:val="nil"/>
            </w:tcBorders>
            <w:shd w:val="clear" w:color="auto" w:fill="auto"/>
            <w:tcMar>
              <w:top w:w="75" w:type="dxa"/>
              <w:left w:w="90" w:type="dxa"/>
              <w:bottom w:w="75" w:type="dxa"/>
              <w:right w:w="90" w:type="dxa"/>
            </w:tcMar>
            <w:vAlign w:val="top"/>
          </w:tcPr>
          <w:p>
            <w:pPr>
              <w:pStyle w:val="40"/>
              <w:keepNext w:val="0"/>
              <w:keepLines w:val="0"/>
              <w:widowControl w:val="0"/>
              <w:shd w:val="clear" w:color="auto" w:fill="auto"/>
              <w:bidi w:val="0"/>
              <w:spacing w:before="0" w:after="0" w:line="255"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《中华人民共和国安全生产法》第三十</w:t>
            </w:r>
            <w:r>
              <w:rPr>
                <w:rFonts w:hint="eastAsia" w:cs="宋体"/>
                <w:color w:val="000000"/>
                <w:spacing w:val="0"/>
                <w:w w:val="100"/>
                <w:position w:val="0"/>
                <w:sz w:val="21"/>
                <w:szCs w:val="21"/>
                <w:lang w:val="en-US" w:eastAsia="zh-CN"/>
              </w:rPr>
              <w:t>五</w:t>
            </w:r>
            <w:r>
              <w:rPr>
                <w:rFonts w:hint="eastAsia" w:ascii="宋体" w:hAnsi="宋体" w:eastAsia="宋体" w:cs="宋体"/>
                <w:color w:val="000000"/>
                <w:spacing w:val="0"/>
                <w:w w:val="100"/>
                <w:position w:val="0"/>
                <w:sz w:val="21"/>
                <w:szCs w:val="21"/>
              </w:rPr>
              <w:t>条规定:生产经营单位应当在有较大危险因素的生产经营场所和有关设施、设备上，设置明显的安全警示标志。</w:t>
            </w:r>
          </w:p>
          <w:p>
            <w:pPr>
              <w:pStyle w:val="40"/>
              <w:keepNext w:val="0"/>
              <w:keepLines w:val="0"/>
              <w:widowControl w:val="0"/>
              <w:shd w:val="clear" w:color="auto" w:fill="auto"/>
              <w:bidi w:val="0"/>
              <w:spacing w:before="0" w:after="0" w:line="255" w:lineRule="exact"/>
              <w:ind w:left="0" w:leftChars="0" w:right="0" w:rightChars="0" w:firstLine="0" w:firstLineChars="0"/>
              <w:jc w:val="both"/>
              <w:rPr>
                <w:rFonts w:hint="default" w:ascii="Times New Roman" w:hAnsi="Times New Roman" w:eastAsia="宋体" w:cs="Times New Roman"/>
                <w:color w:val="auto"/>
                <w:kern w:val="0"/>
                <w:sz w:val="22"/>
                <w:szCs w:val="22"/>
                <w:highlight w:val="none"/>
                <w:lang w:val="en-US" w:eastAsia="zh-CN" w:bidi="ar"/>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收费公路管理条例》第三十一条规定:遇有公路损坏、施工或者发生交通事故等影响车辆正常安全行驶的情形时，收费公路经营管理者应当在现场设置安全防护设施，并在收费公路出入口进行限速、警示提示，或者利用收费公路沿线可变信息板等设施予以公告</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5</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59" w:lineRule="exact"/>
              <w:ind w:left="0" w:leftChars="0" w:right="0" w:rightChars="0" w:firstLine="0" w:firstLineChars="0"/>
              <w:jc w:val="both"/>
              <w:rPr>
                <w:rFonts w:hint="default" w:ascii="Times New Roman" w:hAnsi="Times New Roman" w:eastAsia="宋体" w:cs="Times New Roman"/>
                <w:kern w:val="0"/>
                <w:sz w:val="22"/>
                <w:szCs w:val="22"/>
                <w:highlight w:val="none"/>
                <w:lang w:val="en-US" w:eastAsia="zh-CN" w:bidi="ar"/>
              </w:rPr>
            </w:pPr>
            <w:r>
              <w:rPr>
                <w:rFonts w:hint="eastAsia" w:ascii="宋体" w:hAnsi="宋体" w:eastAsia="宋体" w:cs="宋体"/>
                <w:color w:val="000000"/>
                <w:spacing w:val="0"/>
                <w:w w:val="100"/>
                <w:position w:val="0"/>
                <w:sz w:val="21"/>
                <w:szCs w:val="21"/>
              </w:rPr>
              <w:t>未按要求设置警戒区域和警示标志的，每处扣</w:t>
            </w:r>
            <w:r>
              <w:rPr>
                <w:rFonts w:hint="eastAsia" w:ascii="宋体" w:hAnsi="宋体" w:eastAsia="宋体" w:cs="宋体"/>
                <w:b/>
                <w:bCs/>
                <w:color w:val="000000"/>
                <w:spacing w:val="0"/>
                <w:w w:val="100"/>
                <w:position w:val="0"/>
                <w:sz w:val="21"/>
                <w:szCs w:val="21"/>
              </w:rPr>
              <w:t>1</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59" w:lineRule="exact"/>
              <w:ind w:left="0" w:leftChars="0" w:right="0" w:rightChars="0" w:firstLine="0" w:firstLineChars="0"/>
              <w:jc w:val="both"/>
              <w:rPr>
                <w:rFonts w:hint="eastAsia" w:ascii="宋体" w:hAnsi="宋体" w:eastAsia="宋体" w:cs="宋体"/>
                <w:color w:val="000000"/>
                <w:spacing w:val="0"/>
                <w:w w:val="100"/>
                <w:position w:val="0"/>
                <w:sz w:val="21"/>
                <w:szCs w:val="21"/>
              </w:rPr>
            </w:pPr>
          </w:p>
        </w:tc>
        <w:tc>
          <w:tcPr>
            <w:tcW w:w="123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59" w:lineRule="exact"/>
              <w:ind w:left="0" w:leftChars="0" w:right="0" w:rightChars="0" w:firstLine="0" w:firstLineChars="0"/>
              <w:jc w:val="both"/>
              <w:rPr>
                <w:rFonts w:hint="eastAsia" w:ascii="宋体" w:hAnsi="宋体" w:eastAsia="宋体" w:cs="宋体"/>
                <w:color w:val="000000"/>
                <w:spacing w:val="0"/>
                <w:w w:val="100"/>
                <w:position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822"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green"/>
              </w:rPr>
            </w:pPr>
            <w:r>
              <w:rPr>
                <w:rFonts w:hint="default" w:ascii="Times New Roman" w:hAnsi="Times New Roman" w:eastAsia="宋体" w:cs="Times New Roman"/>
                <w:color w:val="auto"/>
                <w:kern w:val="0"/>
                <w:sz w:val="22"/>
                <w:szCs w:val="22"/>
                <w:highlight w:val="none"/>
                <w:lang w:val="en-US" w:eastAsia="zh-CN" w:bidi="ar"/>
              </w:rPr>
              <w:t>9.</w:t>
            </w:r>
            <w:r>
              <w:rPr>
                <w:rFonts w:hint="eastAsia" w:ascii="Times New Roman" w:hAnsi="Times New Roman" w:eastAsia="宋体" w:cs="Times New Roman"/>
                <w:color w:val="auto"/>
                <w:kern w:val="0"/>
                <w:sz w:val="22"/>
                <w:szCs w:val="22"/>
                <w:highlight w:val="none"/>
                <w:lang w:val="en-US" w:eastAsia="zh-CN" w:bidi="ar"/>
              </w:rPr>
              <w:t>6</w:t>
            </w:r>
            <w:r>
              <w:rPr>
                <w:rFonts w:hint="default" w:ascii="Times New Roman" w:hAnsi="Times New Roman" w:eastAsia="宋体" w:cs="Times New Roman"/>
                <w:color w:val="auto"/>
                <w:kern w:val="0"/>
                <w:sz w:val="22"/>
                <w:szCs w:val="22"/>
                <w:highlight w:val="none"/>
                <w:lang w:val="en-US" w:eastAsia="zh-CN" w:bidi="ar"/>
              </w:rPr>
              <w:t xml:space="preserve"> 个体防护</w:t>
            </w: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1</w:t>
            </w:r>
            <w:r>
              <w:rPr>
                <w:rFonts w:hint="eastAsia" w:ascii="Times New Roman" w:hAnsi="Times New Roman" w:eastAsia="宋体" w:cs="Times New Roman"/>
                <w:color w:val="auto"/>
                <w:kern w:val="0"/>
                <w:sz w:val="22"/>
                <w:szCs w:val="22"/>
                <w:highlight w:val="none"/>
                <w:lang w:val="en-US" w:eastAsia="zh-CN" w:bidi="ar"/>
              </w:rPr>
              <w:t>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建立</w:t>
            </w:r>
            <w:r>
              <w:rPr>
                <w:rFonts w:hint="default" w:ascii="Times New Roman" w:hAnsi="Times New Roman" w:eastAsia="宋体" w:cs="Times New Roman"/>
                <w:color w:val="auto"/>
                <w:kern w:val="0"/>
                <w:sz w:val="22"/>
                <w:szCs w:val="22"/>
                <w:highlight w:val="none"/>
                <w:lang w:val="en-US" w:eastAsia="zh-CN" w:bidi="ar"/>
              </w:rPr>
              <w:t>劳动防护用品管理制度</w:t>
            </w:r>
            <w:r>
              <w:rPr>
                <w:rFonts w:hint="eastAsia" w:ascii="Times New Roman" w:hAnsi="Times New Roman" w:eastAsia="宋体" w:cs="Times New Roman"/>
                <w:color w:val="auto"/>
                <w:kern w:val="0"/>
                <w:sz w:val="22"/>
                <w:szCs w:val="22"/>
                <w:highlight w:val="none"/>
                <w:lang w:val="en-US" w:eastAsia="zh-CN" w:bidi="ar"/>
              </w:rPr>
              <w:t>，按规定配备</w:t>
            </w:r>
            <w:r>
              <w:rPr>
                <w:rFonts w:hint="default" w:ascii="Times New Roman" w:hAnsi="Times New Roman" w:eastAsia="宋体" w:cs="Times New Roman"/>
                <w:color w:val="auto"/>
                <w:kern w:val="0"/>
                <w:sz w:val="22"/>
                <w:szCs w:val="22"/>
                <w:lang w:val="en-US" w:eastAsia="zh-CN" w:bidi="ar"/>
              </w:rPr>
              <w:t>劳动防护用品</w:t>
            </w:r>
            <w:r>
              <w:rPr>
                <w:rFonts w:hint="eastAsia" w:ascii="Times New Roman" w:hAnsi="Times New Roman" w:eastAsia="宋体" w:cs="Times New Roman"/>
                <w:color w:val="auto"/>
                <w:kern w:val="0"/>
                <w:sz w:val="22"/>
                <w:szCs w:val="22"/>
                <w:lang w:val="en-US" w:eastAsia="zh-CN" w:bidi="ar"/>
              </w:rPr>
              <w:t>，如：防护服、防毒面具、手套、安全帽，针对危险化学品专项防护用品等，员工正确佩戴。</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《安全生产法》第四十五条  生产经营单位必须为从业人员提供符合国家标准或者行业标准的劳动防护用品，并监督、教育从业人员按照使用规则佩戴、使用</w:t>
            </w:r>
            <w:r>
              <w:rPr>
                <w:rFonts w:hint="eastAsia" w:ascii="Times New Roman" w:hAnsi="Times New Roman" w:eastAsia="宋体" w:cs="Times New Roman"/>
                <w:color w:val="auto"/>
                <w:kern w:val="0"/>
                <w:sz w:val="22"/>
                <w:szCs w:val="22"/>
                <w:lang w:val="en-US" w:eastAsia="zh-CN" w:bidi="ar"/>
              </w:rPr>
              <w:t>。</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无劳动防护用品管理制度，</w:t>
            </w: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2.劳动防护用品</w:t>
            </w: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存在过期或损坏</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.无劳动防护用品发放记录，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4</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.企业员工未正确佩戴、使用劳动防护用品，</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9.7</w:t>
            </w:r>
            <w:r>
              <w:rPr>
                <w:rFonts w:hint="default" w:ascii="Times New Roman" w:hAnsi="Times New Roman" w:eastAsia="宋体" w:cs="Times New Roman"/>
                <w:color w:val="auto"/>
                <w:kern w:val="0"/>
                <w:sz w:val="22"/>
                <w:szCs w:val="22"/>
                <w:highlight w:val="none"/>
                <w:lang w:val="en-US" w:eastAsia="zh-CN" w:bidi="ar"/>
              </w:rPr>
              <w:t xml:space="preserve"> 消防管理</w:t>
            </w:r>
            <w:r>
              <w:rPr>
                <w:rFonts w:hint="eastAsia" w:ascii="Times New Roman" w:hAnsi="Times New Roman" w:eastAsia="宋体" w:cs="Times New Roman"/>
                <w:color w:val="auto"/>
                <w:kern w:val="0"/>
                <w:sz w:val="22"/>
                <w:szCs w:val="22"/>
                <w:highlight w:val="none"/>
                <w:lang w:val="en-US" w:eastAsia="zh-CN" w:bidi="ar"/>
              </w:rPr>
              <w:t>（15</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企业主要负责人是本单位的消防安全责任人，对本单位的消防安全工作全面负责</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《中华人民共和国消防法》第十六条规定：单位的主要负责人是本单位的消防安全责任人。</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2"/>
                <w:sz w:val="22"/>
                <w:szCs w:val="22"/>
                <w:lang w:val="en-US" w:eastAsia="zh-CN" w:bidi="ar-SA"/>
              </w:rPr>
              <w:t>消防安全责任人是对单位的消防安全工作全面负责的人。一般法人单位的法定代表人或非法人单位的主要负责人是单位的消防安全责任人</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strike w:val="0"/>
                <w:dstrike w:val="0"/>
                <w:color w:val="auto"/>
                <w:kern w:val="0"/>
                <w:sz w:val="22"/>
                <w:szCs w:val="22"/>
                <w:highlight w:val="none"/>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无消防安全责任制文件，</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企业应制定消防设施及器材管理制度，消防器材及设施应有专人负责，定期组织检验、维修，保存检验、维修记录，确保所有消防器材及设施可靠、有效，随时可用</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消防器材及设施应有专人负责管理，包括对器材设施的日常维护，定期检验维修等，并应做好相应记录，保证所有消防器材可靠、有效，随时可用</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无管理制度</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明确负责人</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11"/>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无消防设施及器材检修记录</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，不得分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4.消防器材及设施无效，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一处扣2分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企业应保障安全出口、疏散通道及消防车通道的畅通，消防通道应有明显的指示标志</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企业办公场所</w:t>
            </w:r>
            <w:r>
              <w:rPr>
                <w:rFonts w:hint="default" w:ascii="Times New Roman" w:hAnsi="Times New Roman" w:eastAsia="宋体" w:cs="Times New Roman"/>
                <w:color w:val="auto"/>
                <w:kern w:val="0"/>
                <w:sz w:val="22"/>
                <w:szCs w:val="22"/>
                <w:lang w:val="en-US" w:eastAsia="zh-CN" w:bidi="ar"/>
              </w:rPr>
              <w:t>应该按照《建筑设计防火规范》（GB 50016—2014）</w:t>
            </w:r>
            <w:r>
              <w:rPr>
                <w:rFonts w:hint="eastAsia" w:ascii="Times New Roman" w:hAnsi="Times New Roman" w:eastAsia="宋体" w:cs="Times New Roman"/>
                <w:color w:val="auto"/>
                <w:kern w:val="0"/>
                <w:sz w:val="22"/>
                <w:szCs w:val="22"/>
                <w:lang w:val="en-US" w:eastAsia="zh-CN" w:bidi="ar"/>
              </w:rPr>
              <w:t>2018版</w:t>
            </w:r>
            <w:r>
              <w:rPr>
                <w:rFonts w:hint="default" w:ascii="Times New Roman" w:hAnsi="Times New Roman" w:eastAsia="宋体" w:cs="Times New Roman"/>
                <w:color w:val="auto"/>
                <w:kern w:val="0"/>
                <w:sz w:val="22"/>
                <w:szCs w:val="22"/>
                <w:lang w:val="en-US" w:eastAsia="zh-CN" w:bidi="ar"/>
              </w:rPr>
              <w:t>，合理设计、管理本单位安全出口、疏散通道及消防车通道。安全出口、疏散通道及消防车通道不得被侵占或挪作它用，并应有明显的指示标志</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消防通道不畅通的，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9.8养护</w:t>
            </w:r>
            <w:r>
              <w:rPr>
                <w:rFonts w:hint="default" w:ascii="Times New Roman" w:hAnsi="Times New Roman" w:eastAsia="宋体" w:cs="Times New Roman"/>
                <w:color w:val="auto"/>
                <w:kern w:val="0"/>
                <w:sz w:val="22"/>
                <w:szCs w:val="22"/>
                <w:highlight w:val="none"/>
                <w:lang w:val="en-US" w:eastAsia="zh-CN" w:bidi="ar"/>
              </w:rPr>
              <w:t>管理</w:t>
            </w:r>
            <w:r>
              <w:rPr>
                <w:rFonts w:hint="eastAsia" w:ascii="Times New Roman" w:hAnsi="Times New Roman" w:eastAsia="宋体" w:cs="Times New Roman"/>
                <w:color w:val="auto"/>
                <w:kern w:val="0"/>
                <w:sz w:val="22"/>
                <w:szCs w:val="22"/>
                <w:highlight w:val="none"/>
                <w:lang w:val="en-US" w:eastAsia="zh-CN" w:bidi="ar"/>
              </w:rPr>
              <w:t>（30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6"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①</w:t>
            </w:r>
            <w:r>
              <w:rPr>
                <w:rFonts w:hint="eastAsia" w:ascii="宋体" w:hAnsi="宋体" w:eastAsia="宋体" w:cs="宋体"/>
                <w:color w:val="000000"/>
                <w:spacing w:val="0"/>
                <w:w w:val="100"/>
                <w:position w:val="0"/>
                <w:sz w:val="21"/>
                <w:szCs w:val="21"/>
              </w:rPr>
              <w:t>企业应编制高速公路年度养护运行计划</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《公路养护技术规范》规定，定期对路面的技术状况进行调</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和评定，应以路面管理系统分析结果科学制订公路养护维修计划。</w:t>
            </w:r>
          </w:p>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路面损坏分类、技术状况抽</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方法和频率，应按现行的《公路技术状况评定标准》评定，并遵守各类专用施工技术规范，如沥青路面、桥梁、隧道等,针对不同情况，按照国家规定的养护标准和定额，足额落实养护所需经费。</w:t>
            </w:r>
          </w:p>
          <w:p>
            <w:pPr>
              <w:pStyle w:val="40"/>
              <w:keepNext w:val="0"/>
              <w:keepLines w:val="0"/>
              <w:widowControl w:val="0"/>
              <w:shd w:val="clear" w:color="auto" w:fill="auto"/>
              <w:bidi w:val="0"/>
              <w:spacing w:before="0" w:after="0" w:line="329"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公路管理机构、收费公路经营管理者应当按</w:t>
            </w:r>
            <w:r>
              <w:rPr>
                <w:rFonts w:hint="eastAsia" w:ascii="宋体" w:hAnsi="宋体" w:eastAsia="宋体" w:cs="宋体"/>
                <w:color w:val="000000"/>
                <w:spacing w:val="0"/>
                <w:w w:val="100"/>
                <w:position w:val="0"/>
                <w:sz w:val="21"/>
                <w:szCs w:val="21"/>
                <w:lang w:val="zh-CN" w:eastAsia="zh-CN" w:bidi="zh-CN"/>
              </w:rPr>
              <w:t>腺公路</w:t>
            </w:r>
            <w:r>
              <w:rPr>
                <w:rFonts w:hint="eastAsia" w:ascii="宋体" w:hAnsi="宋体" w:eastAsia="宋体" w:cs="宋体"/>
                <w:color w:val="000000"/>
                <w:spacing w:val="0"/>
                <w:w w:val="100"/>
                <w:position w:val="0"/>
                <w:sz w:val="21"/>
                <w:szCs w:val="21"/>
              </w:rPr>
              <w:t>等级、里程、路况、养护定额、养护规范、检测评定结果和隐患评估报告等编制公路养护计划，分别采取各种养护对策</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08"/>
              </w:tabs>
              <w:bidi w:val="0"/>
              <w:spacing w:before="0" w:after="0" w:line="330"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未编制高速公路年度养护运行计划的，不得分；</w:t>
            </w:r>
          </w:p>
          <w:p>
            <w:pPr>
              <w:pStyle w:val="40"/>
              <w:keepNext w:val="0"/>
              <w:keepLines w:val="0"/>
              <w:widowControl w:val="0"/>
              <w:numPr>
                <w:ilvl w:val="0"/>
                <w:numId w:val="0"/>
              </w:numPr>
              <w:shd w:val="clear" w:color="auto" w:fill="auto"/>
              <w:tabs>
                <w:tab w:val="left" w:pos="403"/>
              </w:tabs>
              <w:bidi w:val="0"/>
              <w:spacing w:before="0" w:after="0" w:line="330"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未足额落实养护经费的，不得分；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编制的公路年度养护计划未按照路况、养护标准、检测评定结果和隐患评估报告等实际情况制订的，扣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30"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②</w:t>
            </w:r>
            <w:r>
              <w:rPr>
                <w:rFonts w:hint="eastAsia" w:ascii="宋体" w:hAnsi="宋体" w:eastAsia="宋体" w:cs="宋体"/>
                <w:color w:val="000000"/>
                <w:spacing w:val="0"/>
                <w:w w:val="100"/>
                <w:position w:val="0"/>
                <w:sz w:val="21"/>
                <w:szCs w:val="21"/>
              </w:rPr>
              <w:t>企业应按照</w:t>
            </w:r>
            <w:r>
              <w:rPr>
                <w:rFonts w:hint="eastAsia" w:ascii="宋体" w:hAnsi="宋体" w:eastAsia="宋体" w:cs="宋体"/>
                <w:b/>
                <w:bCs/>
                <w:color w:val="000000"/>
                <w:spacing w:val="0"/>
                <w:w w:val="100"/>
                <w:position w:val="0"/>
                <w:sz w:val="21"/>
                <w:szCs w:val="21"/>
                <w:lang w:val="en-US" w:eastAsia="en-US" w:bidi="en-US"/>
              </w:rPr>
              <w:t>JT/GH10—</w:t>
            </w:r>
            <w:r>
              <w:rPr>
                <w:rFonts w:hint="eastAsia" w:ascii="宋体" w:hAnsi="宋体" w:eastAsia="宋体" w:cs="宋体"/>
                <w:b/>
                <w:bCs/>
                <w:color w:val="000000"/>
                <w:spacing w:val="0"/>
                <w:w w:val="100"/>
                <w:position w:val="0"/>
                <w:sz w:val="21"/>
                <w:szCs w:val="21"/>
              </w:rPr>
              <w:t>2009</w:t>
            </w:r>
            <w:r>
              <w:rPr>
                <w:rFonts w:hint="eastAsia" w:ascii="宋体" w:hAnsi="宋体" w:eastAsia="宋体" w:cs="宋体"/>
                <w:color w:val="000000"/>
                <w:spacing w:val="0"/>
                <w:w w:val="100"/>
                <w:position w:val="0"/>
                <w:sz w:val="21"/>
                <w:szCs w:val="21"/>
              </w:rPr>
              <w:t>等有关标准的规定，对高速公路及沿线设施开展日常养护、巡</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，及时修补轻微损坏部分，并制作巡</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记录</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高速公路营运企业应加强对高速公路道路设施的养护和管理,加强道路设施的巡查，及时发现道路设施的隐患或病害，及时开展养护作业，保障道路设施处于良好的技术状态，最终保障高速公路营运的安全、快捷、舒适。</w:t>
            </w:r>
          </w:p>
          <w:p>
            <w:pPr>
              <w:pStyle w:val="40"/>
              <w:keepNext w:val="0"/>
              <w:keepLines w:val="0"/>
              <w:widowControl w:val="0"/>
              <w:shd w:val="clear" w:color="auto" w:fill="auto"/>
              <w:bidi w:val="0"/>
              <w:spacing w:before="0" w:after="0" w:line="329" w:lineRule="exact"/>
              <w:ind w:left="0" w:leftChars="0" w:right="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《公路养护技术规范》(</w:t>
            </w:r>
            <w:r>
              <w:rPr>
                <w:rFonts w:hint="eastAsia" w:ascii="宋体" w:hAnsi="宋体" w:eastAsia="宋体" w:cs="宋体"/>
                <w:b/>
                <w:bCs/>
                <w:color w:val="000000"/>
                <w:spacing w:val="0"/>
                <w:w w:val="100"/>
                <w:position w:val="0"/>
                <w:sz w:val="21"/>
                <w:szCs w:val="21"/>
                <w:lang w:val="en-US" w:eastAsia="en-US" w:bidi="en-US"/>
              </w:rPr>
              <w:t>JT/G</w:t>
            </w:r>
            <w:r>
              <w:rPr>
                <w:rFonts w:hint="eastAsia" w:cs="宋体"/>
                <w:b/>
                <w:bCs/>
                <w:color w:val="000000"/>
                <w:spacing w:val="0"/>
                <w:w w:val="100"/>
                <w:position w:val="0"/>
                <w:sz w:val="21"/>
                <w:szCs w:val="21"/>
                <w:lang w:val="en-US" w:eastAsia="zh-CN" w:bidi="en-US"/>
              </w:rPr>
              <w:t xml:space="preserve"> </w:t>
            </w:r>
            <w:r>
              <w:rPr>
                <w:rFonts w:hint="eastAsia" w:ascii="宋体" w:hAnsi="宋体" w:eastAsia="宋体" w:cs="宋体"/>
                <w:b/>
                <w:bCs/>
                <w:color w:val="000000"/>
                <w:spacing w:val="0"/>
                <w:w w:val="100"/>
                <w:position w:val="0"/>
                <w:sz w:val="21"/>
                <w:szCs w:val="21"/>
                <w:lang w:val="en-US" w:eastAsia="en-US" w:bidi="en-US"/>
              </w:rPr>
              <w:t>H10</w:t>
            </w:r>
            <w:r>
              <w:rPr>
                <w:rFonts w:hint="eastAsia" w:cs="宋体"/>
                <w:b/>
                <w:bCs/>
                <w:color w:val="000000"/>
                <w:spacing w:val="0"/>
                <w:w w:val="100"/>
                <w:position w:val="0"/>
                <w:sz w:val="21"/>
                <w:szCs w:val="21"/>
                <w:lang w:val="en-US" w:eastAsia="zh-CN" w:bidi="en-US"/>
              </w:rPr>
              <w:t>-</w:t>
            </w:r>
            <w:r>
              <w:rPr>
                <w:rFonts w:hint="eastAsia" w:ascii="宋体" w:hAnsi="宋体" w:eastAsia="宋体" w:cs="宋体"/>
                <w:b/>
                <w:bCs/>
                <w:color w:val="000000"/>
                <w:spacing w:val="0"/>
                <w:w w:val="100"/>
                <w:position w:val="0"/>
                <w:sz w:val="21"/>
                <w:szCs w:val="21"/>
              </w:rPr>
              <w:t>2009)</w:t>
            </w:r>
            <w:r>
              <w:rPr>
                <w:rFonts w:hint="eastAsia" w:ascii="宋体" w:hAnsi="宋体" w:eastAsia="宋体" w:cs="宋体"/>
                <w:color w:val="000000"/>
                <w:spacing w:val="0"/>
                <w:w w:val="100"/>
                <w:position w:val="0"/>
                <w:sz w:val="21"/>
                <w:szCs w:val="21"/>
              </w:rPr>
              <w:t>对高速公路路基、路面、桥涵、隧道养护做出了基本要求。</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8"/>
              </w:tabs>
              <w:bidi w:val="0"/>
              <w:spacing w:before="0" w:after="0" w:line="331"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按照《公路养护技术规范</w:t>
            </w:r>
            <w:r>
              <w:rPr>
                <w:rFonts w:hint="eastAsia" w:ascii="宋体" w:hAnsi="宋体" w:eastAsia="宋体" w:cs="宋体"/>
                <w:b/>
                <w:bCs/>
                <w:color w:val="000000"/>
                <w:spacing w:val="0"/>
                <w:w w:val="100"/>
                <w:position w:val="0"/>
                <w:sz w:val="21"/>
                <w:szCs w:val="21"/>
                <w:lang w:val="en-US" w:eastAsia="en-US" w:bidi="en-US"/>
              </w:rPr>
              <w:t>XJT/GH10</w:t>
            </w:r>
            <w:r>
              <w:rPr>
                <w:rFonts w:hint="eastAsia" w:cs="宋体"/>
                <w:b/>
                <w:bCs/>
                <w:color w:val="000000"/>
                <w:spacing w:val="0"/>
                <w:w w:val="100"/>
                <w:position w:val="0"/>
                <w:sz w:val="21"/>
                <w:szCs w:val="21"/>
                <w:lang w:val="en-US" w:eastAsia="zh-CN" w:bidi="en-US"/>
              </w:rPr>
              <w:t>-</w:t>
            </w:r>
            <w:r>
              <w:rPr>
                <w:rFonts w:hint="eastAsia" w:ascii="宋体" w:hAnsi="宋体" w:eastAsia="宋体" w:cs="宋体"/>
                <w:b/>
                <w:bCs/>
                <w:color w:val="000000"/>
                <w:spacing w:val="0"/>
                <w:w w:val="100"/>
                <w:position w:val="0"/>
                <w:sz w:val="21"/>
                <w:szCs w:val="21"/>
              </w:rPr>
              <w:t>2009)</w:t>
            </w:r>
            <w:r>
              <w:rPr>
                <w:rFonts w:hint="eastAsia" w:ascii="宋体" w:hAnsi="宋体" w:eastAsia="宋体" w:cs="宋体"/>
                <w:color w:val="000000"/>
                <w:spacing w:val="0"/>
                <w:w w:val="100"/>
                <w:position w:val="0"/>
                <w:sz w:val="21"/>
                <w:szCs w:val="21"/>
              </w:rPr>
              <w:t>要求，对高速公路及其附属设施开展日常养护，及时修补轻微损坏部分；</w:t>
            </w:r>
          </w:p>
          <w:p>
            <w:pPr>
              <w:pStyle w:val="40"/>
              <w:keepNext w:val="0"/>
              <w:keepLines w:val="0"/>
              <w:widowControl w:val="0"/>
              <w:numPr>
                <w:ilvl w:val="0"/>
                <w:numId w:val="0"/>
              </w:numPr>
              <w:shd w:val="clear" w:color="auto" w:fill="auto"/>
              <w:tabs>
                <w:tab w:val="left" w:pos="446"/>
              </w:tabs>
              <w:bidi w:val="0"/>
              <w:spacing w:before="0" w:after="0" w:line="331"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明确检查管理制度，检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制度应与规范要求相符；</w:t>
            </w:r>
          </w:p>
          <w:p>
            <w:pPr>
              <w:pStyle w:val="40"/>
              <w:keepNext w:val="0"/>
              <w:keepLines w:val="0"/>
              <w:widowControl w:val="0"/>
              <w:numPr>
                <w:ilvl w:val="0"/>
                <w:numId w:val="0"/>
              </w:numPr>
              <w:shd w:val="clear" w:color="auto" w:fill="auto"/>
              <w:tabs>
                <w:tab w:val="left" w:pos="439"/>
              </w:tabs>
              <w:bidi w:val="0"/>
              <w:spacing w:before="0" w:after="0" w:line="331"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应按规定频次、内容对高速公路进行巡</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，巡</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记录或巡</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记录应完整；</w:t>
            </w:r>
          </w:p>
          <w:p>
            <w:pPr>
              <w:pStyle w:val="40"/>
              <w:keepNext w:val="0"/>
              <w:keepLines w:val="0"/>
              <w:widowControl w:val="0"/>
              <w:numPr>
                <w:ilvl w:val="0"/>
                <w:numId w:val="0"/>
              </w:numPr>
              <w:shd w:val="clear" w:color="auto" w:fill="auto"/>
              <w:tabs>
                <w:tab w:val="left" w:pos="410"/>
              </w:tabs>
              <w:bidi w:val="0"/>
              <w:spacing w:before="0" w:after="0" w:line="346" w:lineRule="exact"/>
              <w:ind w:right="0" w:right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4.</w:t>
            </w:r>
            <w:r>
              <w:rPr>
                <w:rFonts w:hint="eastAsia" w:ascii="宋体" w:hAnsi="宋体" w:eastAsia="宋体" w:cs="宋体"/>
                <w:color w:val="000000"/>
                <w:spacing w:val="0"/>
                <w:w w:val="100"/>
                <w:position w:val="0"/>
                <w:sz w:val="21"/>
                <w:szCs w:val="21"/>
              </w:rPr>
              <w:t>对检查发现的病害隐患应及时养护处置</w:t>
            </w:r>
          </w:p>
        </w:tc>
        <w:tc>
          <w:tcPr>
            <w:tcW w:w="139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0"/>
              </w:tabs>
              <w:bidi w:val="0"/>
              <w:spacing w:before="0" w:after="0" w:line="346" w:lineRule="exact"/>
              <w:ind w:right="0" w:rightChars="0"/>
              <w:jc w:val="both"/>
              <w:rPr>
                <w:rFonts w:hint="eastAsia"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0"/>
              </w:tabs>
              <w:bidi w:val="0"/>
              <w:spacing w:before="0" w:after="0" w:line="346" w:lineRule="exact"/>
              <w:ind w:right="0" w:rightChars="0"/>
              <w:jc w:val="both"/>
              <w:rPr>
                <w:rFonts w:hint="eastAsia"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00"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③</w:t>
            </w:r>
            <w:r>
              <w:rPr>
                <w:rFonts w:hint="eastAsia" w:ascii="宋体" w:hAnsi="宋体" w:eastAsia="宋体" w:cs="宋体"/>
                <w:color w:val="000000"/>
                <w:spacing w:val="0"/>
                <w:w w:val="100"/>
                <w:position w:val="0"/>
                <w:sz w:val="21"/>
                <w:szCs w:val="21"/>
              </w:rPr>
              <w:t>企业应当按照国家相关要求，配置桥梁、隧道等养护专业技术人员对高速公路桥梁、隧道进行检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、检測，应当定期检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隧道的排水、通风、照明、监控、报警、消防、救助等设施，保持设施处于完好状态；高速公路桥梁、隧道特殊检测应当委托具有相应资质的专业检测单位实施;高速公路桥梁、隧道经检测承载能力达不到原设计标准的，应当及时釆取限载、加固等措施;严重损坏,影响车辆通行安全的，应当通知公安交通管理部门，并配合其采取相应的交通管制措施</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99"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企业应依据《公路养护安全作业规程》《公路工程技术标准》《公路桥梁养护管理工作制度》等，配置桥梁、隧道等养护专业技术人员，定期检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、检测髙速公路、公路桥梁、公路隧道安全技术状态及安全设施，对经检测发现不符合车辆通行安全要求的,应当进行维修，及时向社会公告，并通知公安机关交通管理部门；</w:t>
            </w:r>
          </w:p>
          <w:p>
            <w:pPr>
              <w:pStyle w:val="40"/>
              <w:keepNext w:val="0"/>
              <w:keepLines w:val="0"/>
              <w:widowControl w:val="0"/>
              <w:shd w:val="clear" w:color="auto" w:fill="auto"/>
              <w:bidi w:val="0"/>
              <w:spacing w:before="0" w:after="0" w:line="299"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检测应委托具有相应资质的专业检测单位；</w:t>
            </w:r>
          </w:p>
          <w:p>
            <w:pPr>
              <w:pStyle w:val="40"/>
              <w:keepNext w:val="0"/>
              <w:keepLines w:val="0"/>
              <w:widowControl w:val="0"/>
              <w:shd w:val="clear" w:color="auto" w:fill="auto"/>
              <w:bidi w:val="0"/>
              <w:spacing w:before="0" w:after="0" w:line="299"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对检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发现的一般问题应及时处置，严重损坏的应制定养护作业专项方案，及时采取限载、加固、交通管制等措施，并按照方案执行养护，保留相关记录</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37"/>
              </w:tabs>
              <w:bidi w:val="0"/>
              <w:spacing w:before="0" w:after="0" w:line="303"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应配置桥梁、隧道等养护专业技术人员对高速公路桥梁、隧道进行检</w:t>
            </w:r>
            <w:r>
              <w:rPr>
                <w:rFonts w:hint="eastAsia" w:cs="宋体"/>
                <w:color w:val="000000"/>
                <w:spacing w:val="0"/>
                <w:w w:val="100"/>
                <w:position w:val="0"/>
                <w:sz w:val="21"/>
                <w:szCs w:val="21"/>
                <w:lang w:eastAsia="zh-CN"/>
              </w:rPr>
              <w:t>查</w:t>
            </w:r>
            <w:r>
              <w:rPr>
                <w:rFonts w:hint="eastAsia" w:ascii="宋体" w:hAnsi="宋体" w:eastAsia="宋体" w:cs="宋体"/>
                <w:color w:val="000000"/>
                <w:spacing w:val="0"/>
                <w:w w:val="100"/>
                <w:position w:val="0"/>
                <w:sz w:val="21"/>
                <w:szCs w:val="21"/>
              </w:rPr>
              <w:t>、检测。特大、大型桥梁应落实桥梁工程师制度；</w:t>
            </w:r>
          </w:p>
          <w:p>
            <w:pPr>
              <w:pStyle w:val="40"/>
              <w:keepNext w:val="0"/>
              <w:keepLines w:val="0"/>
              <w:widowControl w:val="0"/>
              <w:numPr>
                <w:ilvl w:val="0"/>
                <w:numId w:val="0"/>
              </w:numPr>
              <w:shd w:val="clear" w:color="auto" w:fill="auto"/>
              <w:tabs>
                <w:tab w:val="left" w:pos="413"/>
              </w:tabs>
              <w:bidi w:val="0"/>
              <w:spacing w:before="0" w:after="0" w:line="303"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应按规范要求开展定期检测；</w:t>
            </w:r>
          </w:p>
          <w:p>
            <w:pPr>
              <w:pStyle w:val="40"/>
              <w:keepNext w:val="0"/>
              <w:keepLines w:val="0"/>
              <w:widowControl w:val="0"/>
              <w:numPr>
                <w:ilvl w:val="0"/>
                <w:numId w:val="0"/>
              </w:numPr>
              <w:shd w:val="clear" w:color="auto" w:fill="auto"/>
              <w:tabs>
                <w:tab w:val="left" w:pos="413"/>
              </w:tabs>
              <w:bidi w:val="0"/>
              <w:spacing w:before="0" w:after="0" w:line="303"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应委托具有相应资质的专业检测单位实施检测；</w:t>
            </w:r>
          </w:p>
          <w:p>
            <w:pPr>
              <w:pStyle w:val="40"/>
              <w:keepNext w:val="0"/>
              <w:keepLines w:val="0"/>
              <w:widowControl w:val="0"/>
              <w:numPr>
                <w:ilvl w:val="0"/>
                <w:numId w:val="0"/>
              </w:numPr>
              <w:shd w:val="clear" w:color="auto" w:fill="auto"/>
              <w:tabs>
                <w:tab w:val="left" w:pos="437"/>
              </w:tabs>
              <w:bidi w:val="0"/>
              <w:spacing w:before="0" w:after="0" w:line="301"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4.</w:t>
            </w:r>
            <w:r>
              <w:rPr>
                <w:rFonts w:hint="eastAsia" w:ascii="宋体" w:hAnsi="宋体" w:eastAsia="宋体" w:cs="宋体"/>
                <w:color w:val="000000"/>
                <w:spacing w:val="0"/>
                <w:w w:val="100"/>
                <w:position w:val="0"/>
                <w:sz w:val="21"/>
                <w:szCs w:val="21"/>
              </w:rPr>
              <w:t>特大、大型桥梁应设置永久性观测点，并定期开展控制检测；</w:t>
            </w:r>
          </w:p>
          <w:p>
            <w:pPr>
              <w:pStyle w:val="40"/>
              <w:keepNext w:val="0"/>
              <w:keepLines w:val="0"/>
              <w:widowControl w:val="0"/>
              <w:numPr>
                <w:ilvl w:val="0"/>
                <w:numId w:val="0"/>
              </w:numPr>
              <w:shd w:val="clear" w:color="auto" w:fill="auto"/>
              <w:tabs>
                <w:tab w:val="left" w:pos="446"/>
              </w:tabs>
              <w:bidi w:val="0"/>
              <w:spacing w:before="0" w:after="0" w:line="301" w:lineRule="exact"/>
              <w:ind w:right="0" w:right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5.</w:t>
            </w:r>
            <w:r>
              <w:rPr>
                <w:rFonts w:hint="eastAsia" w:ascii="宋体" w:hAnsi="宋体" w:eastAsia="宋体" w:cs="宋体"/>
                <w:color w:val="000000"/>
                <w:spacing w:val="0"/>
                <w:w w:val="100"/>
                <w:position w:val="0"/>
                <w:sz w:val="21"/>
                <w:szCs w:val="21"/>
              </w:rPr>
              <w:t>高速公路桥梁、隧道经检测承载能力应达到原设计标准,并及时釆取限载、加固等措施;对于严重损坏影响车辆通行安全，应通知公安交通管理部门,采取相应的管制措施</w:t>
            </w:r>
          </w:p>
        </w:tc>
        <w:tc>
          <w:tcPr>
            <w:tcW w:w="139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46"/>
              </w:tabs>
              <w:bidi w:val="0"/>
              <w:spacing w:before="0" w:after="0" w:line="301" w:lineRule="exact"/>
              <w:ind w:right="0" w:rightChars="0"/>
              <w:jc w:val="both"/>
              <w:rPr>
                <w:rFonts w:hint="eastAsia"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46"/>
              </w:tabs>
              <w:bidi w:val="0"/>
              <w:spacing w:before="0" w:after="0" w:line="301" w:lineRule="exact"/>
              <w:ind w:right="0" w:rightChars="0"/>
              <w:jc w:val="both"/>
              <w:rPr>
                <w:rFonts w:hint="eastAsia"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9.9收费</w:t>
            </w:r>
            <w:r>
              <w:rPr>
                <w:rFonts w:hint="default" w:ascii="Times New Roman" w:hAnsi="Times New Roman" w:eastAsia="宋体" w:cs="Times New Roman"/>
                <w:color w:val="auto"/>
                <w:kern w:val="0"/>
                <w:sz w:val="22"/>
                <w:szCs w:val="22"/>
                <w:highlight w:val="none"/>
                <w:lang w:val="en-US" w:eastAsia="zh-CN" w:bidi="ar"/>
              </w:rPr>
              <w:t>管理</w:t>
            </w:r>
            <w:r>
              <w:rPr>
                <w:rFonts w:hint="eastAsia" w:ascii="Times New Roman" w:hAnsi="Times New Roman" w:eastAsia="宋体" w:cs="Times New Roman"/>
                <w:color w:val="auto"/>
                <w:kern w:val="0"/>
                <w:sz w:val="22"/>
                <w:szCs w:val="22"/>
                <w:highlight w:val="none"/>
                <w:lang w:val="en-US" w:eastAsia="zh-CN" w:bidi="ar"/>
              </w:rPr>
              <w:t>（5</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98"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节假日、重大活动等特定时段依照国家规定施行免费通行的，应采取相应的措施，确保高速公路安全、畅通运行</w:t>
            </w:r>
          </w:p>
        </w:tc>
        <w:tc>
          <w:tcPr>
            <w:tcW w:w="3341" w:type="dxa"/>
            <w:tcBorders>
              <w:tl2br w:val="nil"/>
              <w:tr2bl w:val="nil"/>
            </w:tcBorders>
            <w:shd w:val="clear" w:color="auto" w:fill="auto"/>
            <w:tcMar>
              <w:top w:w="75" w:type="dxa"/>
              <w:left w:w="90" w:type="dxa"/>
              <w:bottom w:w="75" w:type="dxa"/>
              <w:right w:w="90" w:type="dxa"/>
            </w:tcMar>
            <w:vAlign w:val="top"/>
          </w:tcPr>
          <w:p>
            <w:pPr>
              <w:pStyle w:val="40"/>
              <w:keepNext w:val="0"/>
              <w:keepLines w:val="0"/>
              <w:widowControl w:val="0"/>
              <w:shd w:val="clear" w:color="auto" w:fill="auto"/>
              <w:bidi w:val="0"/>
              <w:spacing w:before="0" w:after="0" w:line="299"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ascii="宋体" w:hAnsi="宋体" w:eastAsia="宋体" w:cs="宋体"/>
                <w:b/>
                <w:bCs/>
                <w:color w:val="000000"/>
                <w:spacing w:val="0"/>
                <w:w w:val="100"/>
                <w:position w:val="0"/>
                <w:sz w:val="21"/>
                <w:szCs w:val="21"/>
              </w:rPr>
              <w:t>2012</w:t>
            </w:r>
            <w:r>
              <w:rPr>
                <w:rFonts w:hint="eastAsia" w:ascii="宋体" w:hAnsi="宋体" w:eastAsia="宋体" w:cs="宋体"/>
                <w:color w:val="000000"/>
                <w:spacing w:val="0"/>
                <w:w w:val="100"/>
                <w:position w:val="0"/>
                <w:sz w:val="21"/>
                <w:szCs w:val="21"/>
              </w:rPr>
              <w:t>年</w:t>
            </w:r>
            <w:r>
              <w:rPr>
                <w:rFonts w:hint="eastAsia" w:ascii="宋体" w:hAnsi="宋体" w:eastAsia="宋体" w:cs="宋体"/>
                <w:b/>
                <w:bCs/>
                <w:color w:val="000000"/>
                <w:spacing w:val="0"/>
                <w:w w:val="100"/>
                <w:position w:val="0"/>
                <w:sz w:val="21"/>
                <w:szCs w:val="21"/>
              </w:rPr>
              <w:t>7</w:t>
            </w:r>
            <w:r>
              <w:rPr>
                <w:rFonts w:hint="eastAsia" w:ascii="宋体" w:hAnsi="宋体" w:eastAsia="宋体" w:cs="宋体"/>
                <w:color w:val="000000"/>
                <w:spacing w:val="0"/>
                <w:w w:val="100"/>
                <w:position w:val="0"/>
                <w:sz w:val="21"/>
                <w:szCs w:val="21"/>
              </w:rPr>
              <w:t>月国务院同意交通运输部、发展改革委、财政部、监察部、国务院纠风办制定的《重大节假日免收小型客车通行费实施方案》，免费通行的时间范围为春节、淸明节、劳动节、国庆节四个国家法定节假日，以及当年国务院办公厅文件确定的上述法定节假日连休日。免费时段从法定重大节假日第一天零时至节假日最后一天零时结束，车辆通过普通公路收费站收费车道的以当时通过时间为准，车辆通行高速公路的以车辆驶离岀口收费车道的时间为准。凡符合《中华人民共和国公路法》和《收费公路管理条例》规定，被允许在普通收费公路行驶的</w:t>
            </w:r>
            <w:r>
              <w:rPr>
                <w:rFonts w:hint="eastAsia" w:ascii="宋体" w:hAnsi="宋体" w:eastAsia="宋体" w:cs="宋体"/>
                <w:b/>
                <w:bCs/>
                <w:color w:val="000000"/>
                <w:spacing w:val="0"/>
                <w:w w:val="100"/>
                <w:position w:val="0"/>
                <w:sz w:val="21"/>
                <w:szCs w:val="21"/>
              </w:rPr>
              <w:t>7</w:t>
            </w:r>
            <w:r>
              <w:rPr>
                <w:rFonts w:hint="eastAsia" w:ascii="宋体" w:hAnsi="宋体" w:eastAsia="宋体" w:cs="宋体"/>
                <w:color w:val="000000"/>
                <w:spacing w:val="0"/>
                <w:w w:val="100"/>
                <w:position w:val="0"/>
                <w:sz w:val="21"/>
                <w:szCs w:val="21"/>
              </w:rPr>
              <w:t>座以下载客车辆、摩托车，都可以免费通行经依法批准设置的收费公路、桥梁和隧道</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b/>
                <w:bCs/>
                <w:color w:val="000000"/>
                <w:spacing w:val="0"/>
                <w:w w:val="100"/>
                <w:position w:val="0"/>
                <w:sz w:val="21"/>
                <w:szCs w:val="21"/>
                <w:lang w:val="en-US" w:eastAsia="en-US" w:bidi="en-US"/>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应采取相应安全保畅措施</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9.10服务</w:t>
            </w:r>
            <w:r>
              <w:rPr>
                <w:rFonts w:hint="eastAsia" w:ascii="宋体" w:hAnsi="宋体" w:eastAsia="宋体" w:cs="宋体"/>
                <w:color w:val="000000"/>
                <w:spacing w:val="0"/>
                <w:w w:val="100"/>
                <w:position w:val="0"/>
                <w:sz w:val="21"/>
                <w:szCs w:val="21"/>
              </w:rPr>
              <w:t>区</w:t>
            </w:r>
            <w:r>
              <w:rPr>
                <w:rFonts w:hint="default" w:ascii="Times New Roman" w:hAnsi="Times New Roman" w:eastAsia="宋体" w:cs="Times New Roman"/>
                <w:color w:val="auto"/>
                <w:kern w:val="0"/>
                <w:sz w:val="22"/>
                <w:szCs w:val="22"/>
                <w:highlight w:val="none"/>
                <w:lang w:val="en-US" w:eastAsia="zh-CN" w:bidi="ar"/>
              </w:rPr>
              <w:t>管理</w:t>
            </w:r>
            <w:r>
              <w:rPr>
                <w:rFonts w:hint="eastAsia" w:ascii="Times New Roman" w:hAnsi="Times New Roman" w:eastAsia="宋体" w:cs="Times New Roman"/>
                <w:color w:val="auto"/>
                <w:kern w:val="0"/>
                <w:sz w:val="22"/>
                <w:szCs w:val="22"/>
                <w:highlight w:val="none"/>
                <w:lang w:val="en-US" w:eastAsia="zh-CN" w:bidi="ar"/>
              </w:rPr>
              <w:t>（30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41"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①</w:t>
            </w:r>
            <w:r>
              <w:rPr>
                <w:rFonts w:hint="eastAsia" w:ascii="宋体" w:hAnsi="宋体" w:eastAsia="宋体" w:cs="宋体"/>
                <w:color w:val="000000"/>
                <w:spacing w:val="0"/>
                <w:w w:val="100"/>
                <w:position w:val="0"/>
                <w:sz w:val="21"/>
                <w:szCs w:val="21"/>
              </w:rPr>
              <w:t>服务区内基础设施应按</w:t>
            </w:r>
            <w:r>
              <w:rPr>
                <w:rFonts w:hint="eastAsia" w:ascii="宋体" w:hAnsi="宋体" w:eastAsia="宋体" w:cs="宋体"/>
                <w:b/>
                <w:bCs/>
                <w:color w:val="000000"/>
                <w:spacing w:val="0"/>
                <w:w w:val="100"/>
                <w:position w:val="0"/>
                <w:sz w:val="21"/>
                <w:szCs w:val="21"/>
                <w:lang w:val="en-US" w:eastAsia="en-US" w:bidi="en-US"/>
              </w:rPr>
              <w:t>（JT/G</w:t>
            </w:r>
            <w:r>
              <w:rPr>
                <w:rFonts w:hint="eastAsia" w:cs="宋体"/>
                <w:b/>
                <w:bCs/>
                <w:color w:val="000000"/>
                <w:spacing w:val="0"/>
                <w:w w:val="100"/>
                <w:position w:val="0"/>
                <w:sz w:val="21"/>
                <w:szCs w:val="21"/>
                <w:lang w:val="en-US" w:eastAsia="zh-CN" w:bidi="en-US"/>
              </w:rPr>
              <w:t xml:space="preserve"> </w:t>
            </w:r>
            <w:r>
              <w:rPr>
                <w:rFonts w:hint="eastAsia" w:ascii="宋体" w:hAnsi="宋体" w:eastAsia="宋体" w:cs="宋体"/>
                <w:b/>
                <w:bCs/>
                <w:color w:val="000000"/>
                <w:spacing w:val="0"/>
                <w:w w:val="100"/>
                <w:position w:val="0"/>
                <w:sz w:val="21"/>
                <w:szCs w:val="21"/>
                <w:lang w:val="en-US" w:eastAsia="en-US" w:bidi="en-US"/>
              </w:rPr>
              <w:t>H10</w:t>
            </w:r>
            <w:r>
              <w:rPr>
                <w:rFonts w:hint="eastAsia" w:cs="宋体"/>
                <w:b/>
                <w:bCs/>
                <w:color w:val="000000"/>
                <w:spacing w:val="0"/>
                <w:w w:val="100"/>
                <w:position w:val="0"/>
                <w:sz w:val="21"/>
                <w:szCs w:val="21"/>
                <w:lang w:val="en-US" w:eastAsia="zh-CN" w:bidi="en-US"/>
              </w:rPr>
              <w:t>-</w:t>
            </w:r>
            <w:r>
              <w:rPr>
                <w:rFonts w:hint="eastAsia" w:ascii="宋体" w:hAnsi="宋体" w:eastAsia="宋体" w:cs="宋体"/>
                <w:b/>
                <w:bCs/>
                <w:color w:val="000000"/>
                <w:spacing w:val="0"/>
                <w:w w:val="100"/>
                <w:position w:val="0"/>
                <w:sz w:val="21"/>
                <w:szCs w:val="21"/>
              </w:rPr>
              <w:t>2009）</w:t>
            </w:r>
            <w:r>
              <w:rPr>
                <w:rFonts w:hint="eastAsia" w:ascii="宋体" w:hAnsi="宋体" w:eastAsia="宋体" w:cs="宋体"/>
                <w:color w:val="000000"/>
                <w:spacing w:val="0"/>
                <w:w w:val="100"/>
                <w:position w:val="0"/>
                <w:sz w:val="21"/>
                <w:szCs w:val="21"/>
              </w:rPr>
              <w:t>要求进行管理养护，保持区内道路的完好、畅通；服务区的进岀口以及服务区内车行道应当设置醒目的指示标志和安全隔离设施;服务区内的交通标志、标线和各种指示标志应当淸晰、有效、齐全、醒目，确保有序引导车流、客流</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43"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服务区内道路应保持完好、安全、畅通。服务区的进出道路应保证二个（含）以上</w:t>
            </w:r>
            <w:r>
              <w:rPr>
                <w:rFonts w:hint="eastAsia" w:ascii="宋体" w:hAnsi="宋体" w:eastAsia="宋体" w:cs="宋体"/>
                <w:color w:val="000000"/>
                <w:spacing w:val="0"/>
                <w:w w:val="100"/>
                <w:position w:val="0"/>
                <w:sz w:val="21"/>
                <w:szCs w:val="21"/>
                <w:lang w:val="zh-CN" w:eastAsia="zh-CN" w:bidi="zh-CN"/>
              </w:rPr>
              <w:t>车道。</w:t>
            </w:r>
            <w:r>
              <w:rPr>
                <w:rFonts w:hint="eastAsia" w:ascii="宋体" w:hAnsi="宋体" w:eastAsia="宋体" w:cs="宋体"/>
                <w:color w:val="000000"/>
                <w:spacing w:val="0"/>
                <w:w w:val="100"/>
                <w:position w:val="0"/>
                <w:sz w:val="21"/>
                <w:szCs w:val="21"/>
              </w:rPr>
              <w:t>区内道路设施管养标准参照高速公路路面养护标准执行。</w:t>
            </w:r>
          </w:p>
          <w:p>
            <w:pPr>
              <w:pStyle w:val="40"/>
              <w:keepNext w:val="0"/>
              <w:keepLines w:val="0"/>
              <w:widowControl w:val="0"/>
              <w:shd w:val="clear" w:color="auto" w:fill="auto"/>
              <w:bidi w:val="0"/>
              <w:spacing w:before="0" w:after="0" w:line="343"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服务区内各种标志、标线、标牌应淸晰、有效、齐全、醒目，确保有序引导车流、客流，停车场内车辆停放应整齐、有序、保证畅通，运送危险品的车辆，应按指定地点停放，并接受全程管理。</w:t>
            </w:r>
          </w:p>
          <w:p>
            <w:pPr>
              <w:pStyle w:val="40"/>
              <w:keepNext w:val="0"/>
              <w:keepLines w:val="0"/>
              <w:widowControl w:val="0"/>
              <w:shd w:val="clear" w:color="auto" w:fill="auto"/>
              <w:bidi w:val="0"/>
              <w:spacing w:before="0" w:after="0" w:line="343"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服务区内道路设施按规范进行管理养护，保持区内道路完好、安全、畅通</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22"/>
              </w:tabs>
              <w:bidi w:val="0"/>
              <w:spacing w:before="0" w:after="0" w:line="341"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服务区内区内道路未保持完好、安全、畅通的，扣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p>
            <w:pPr>
              <w:pStyle w:val="40"/>
              <w:keepNext w:val="0"/>
              <w:keepLines w:val="0"/>
              <w:widowControl w:val="0"/>
              <w:numPr>
                <w:ilvl w:val="0"/>
                <w:numId w:val="0"/>
              </w:numPr>
              <w:shd w:val="clear" w:color="auto" w:fill="auto"/>
              <w:tabs>
                <w:tab w:val="left" w:pos="422"/>
              </w:tabs>
              <w:bidi w:val="0"/>
              <w:spacing w:before="0" w:after="0" w:line="341"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服务区的进出口以及服务区内车行道未设置醒目的指示标志和安全隔离设施的，扣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服务区交通标志、标统和各种指示标志缺失的，扣</w:t>
            </w:r>
            <w:r>
              <w:rPr>
                <w:rFonts w:hint="eastAsia" w:ascii="宋体" w:hAnsi="宋体" w:eastAsia="宋体" w:cs="宋体"/>
                <w:b/>
                <w:bCs/>
                <w:color w:val="000000"/>
                <w:spacing w:val="0"/>
                <w:w w:val="100"/>
                <w:position w:val="0"/>
                <w:sz w:val="21"/>
                <w:szCs w:val="21"/>
              </w:rPr>
              <w:t>1</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28"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②</w:t>
            </w:r>
            <w:r>
              <w:rPr>
                <w:rFonts w:hint="eastAsia" w:ascii="宋体" w:hAnsi="宋体" w:eastAsia="宋体" w:cs="宋体"/>
                <w:color w:val="000000"/>
                <w:spacing w:val="0"/>
                <w:w w:val="100"/>
                <w:position w:val="0"/>
                <w:sz w:val="21"/>
                <w:szCs w:val="21"/>
              </w:rPr>
              <w:t>企业应安排专职管理人员负责停车场的秩序和安全管理;专职管理人员负责指挥车辆按指定区域有序停放;载有易燃</w:t>
            </w:r>
            <w:r>
              <w:rPr>
                <w:rFonts w:hint="eastAsia"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rPr>
              <w:t>易爆、剧毒化学物品的车辆确需在停车场内临时停放的，专职管理人员应当引导其停放在指定区域，指定的停放区域距加油站及建筑物的距离应当符合国家规定</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32"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服务区停车场应有专职管理员负责停车场秩序和安全管理。</w:t>
            </w:r>
          </w:p>
          <w:p>
            <w:pPr>
              <w:pStyle w:val="40"/>
              <w:keepNext w:val="0"/>
              <w:keepLines w:val="0"/>
              <w:widowControl w:val="0"/>
              <w:shd w:val="clear" w:color="auto" w:fill="auto"/>
              <w:bidi w:val="0"/>
              <w:spacing w:before="0" w:after="0" w:line="332" w:lineRule="exact"/>
              <w:ind w:left="0" w:leftChars="0" w:right="0" w:firstLine="0" w:firstLineChars="0"/>
              <w:jc w:val="both"/>
              <w:rPr>
                <w:rFonts w:hint="eastAsia" w:ascii="宋体" w:hAnsi="宋体" w:eastAsia="宋体" w:cs="宋体"/>
                <w:sz w:val="21"/>
                <w:szCs w:val="21"/>
                <w:lang w:eastAsia="zh-CN"/>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停车场管理员应轮流值班维护场区内车流、人流的进出、停放交通安全</w:t>
            </w:r>
            <w:r>
              <w:rPr>
                <w:rFonts w:hint="eastAsia" w:cs="宋体"/>
                <w:b w:val="0"/>
                <w:bCs w:val="0"/>
                <w:color w:val="000000"/>
                <w:spacing w:val="0"/>
                <w:w w:val="100"/>
                <w:position w:val="0"/>
                <w:sz w:val="21"/>
                <w:szCs w:val="21"/>
                <w:lang w:val="en-US" w:eastAsia="zh-CN" w:bidi="en-US"/>
              </w:rPr>
              <w:t>。</w:t>
            </w:r>
          </w:p>
          <w:p>
            <w:pPr>
              <w:pStyle w:val="40"/>
              <w:keepNext w:val="0"/>
              <w:keepLines w:val="0"/>
              <w:widowControl w:val="0"/>
              <w:shd w:val="clear" w:color="auto" w:fill="auto"/>
              <w:bidi w:val="0"/>
              <w:spacing w:before="0" w:after="0" w:line="332"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应设置易燃、易爆、剧毒化学物品的车柄指定停放区域;停放区域应符合相关要求</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8"/>
              </w:tabs>
              <w:bidi w:val="0"/>
              <w:spacing w:before="0" w:after="0" w:line="329"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未安排专职管理人员负责停车场的秩序和安全管理的，不得分；</w:t>
            </w:r>
          </w:p>
          <w:p>
            <w:pPr>
              <w:pStyle w:val="40"/>
              <w:keepNext w:val="0"/>
              <w:keepLines w:val="0"/>
              <w:widowControl w:val="0"/>
              <w:numPr>
                <w:ilvl w:val="0"/>
                <w:numId w:val="0"/>
              </w:numPr>
              <w:shd w:val="clear" w:color="auto" w:fill="auto"/>
              <w:tabs>
                <w:tab w:val="left" w:pos="422"/>
              </w:tabs>
              <w:bidi w:val="0"/>
              <w:spacing w:before="0" w:after="0" w:line="329"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未有专职管理人员指挥车辆按指定区域有序停放的，扣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易燃、易爆、剧毒化学物品的车辆未停放的指定区域的，或指定的停放区域距加油站及建筑物的距离不符合国家规定，扣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38"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③</w:t>
            </w:r>
            <w:r>
              <w:rPr>
                <w:rFonts w:hint="eastAsia" w:ascii="宋体" w:hAnsi="宋体" w:eastAsia="宋体" w:cs="宋体"/>
                <w:color w:val="000000"/>
                <w:spacing w:val="0"/>
                <w:w w:val="100"/>
                <w:position w:val="0"/>
                <w:sz w:val="21"/>
                <w:szCs w:val="21"/>
              </w:rPr>
              <w:t>服务区应专门设置危险货物车辆停车区，停车区应与其他车辆停车区分离，并视频监控全覆盖</w:t>
            </w:r>
          </w:p>
        </w:tc>
        <w:tc>
          <w:tcPr>
            <w:tcW w:w="334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41"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危险货物车辆由于存在易燃、易爆、有毒有害等危险特性，应有与周边居民、商场、加油站、学校等人车流密集区保持安全距离，设置专用停车场.</w:t>
            </w:r>
          </w:p>
          <w:p>
            <w:pPr>
              <w:pStyle w:val="40"/>
              <w:keepNext w:val="0"/>
              <w:keepLines w:val="0"/>
              <w:widowControl w:val="0"/>
              <w:shd w:val="clear" w:color="auto" w:fill="auto"/>
              <w:bidi w:val="0"/>
              <w:spacing w:before="0" w:after="0" w:line="341"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在高速公路服务区停放时，应与社会车辆、人车流密集、进出口车道以、加油加气站及建筑物等保持国家规定的安全距离，服务区内应设置危货品临时停放区，做好警示标识及</w:t>
            </w:r>
            <w:r>
              <w:rPr>
                <w:rFonts w:hint="eastAsia" w:cs="宋体"/>
                <w:color w:val="000000"/>
                <w:spacing w:val="0"/>
                <w:w w:val="100"/>
                <w:position w:val="0"/>
                <w:sz w:val="21"/>
                <w:szCs w:val="21"/>
                <w:lang w:eastAsia="zh-CN"/>
              </w:rPr>
              <w:t>应急措施</w:t>
            </w:r>
            <w:r>
              <w:rPr>
                <w:rFonts w:hint="eastAsia" w:ascii="宋体" w:hAnsi="宋体" w:eastAsia="宋体" w:cs="宋体"/>
                <w:color w:val="000000"/>
                <w:spacing w:val="0"/>
                <w:w w:val="100"/>
                <w:position w:val="0"/>
                <w:sz w:val="21"/>
                <w:szCs w:val="21"/>
              </w:rPr>
              <w:t>，服务区应设置视频监控，加强危货车辆安全监控</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18"/>
              </w:tabs>
              <w:bidi w:val="0"/>
              <w:spacing w:before="0" w:after="0" w:line="340"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未设置易燃、易爆、剧毒等危险货物的车辆指定停放区域的，不得分；</w:t>
            </w:r>
          </w:p>
          <w:p>
            <w:pPr>
              <w:pStyle w:val="40"/>
              <w:keepNext w:val="0"/>
              <w:keepLines w:val="0"/>
              <w:widowControl w:val="0"/>
              <w:numPr>
                <w:ilvl w:val="0"/>
                <w:numId w:val="0"/>
              </w:numPr>
              <w:shd w:val="clear" w:color="auto" w:fill="auto"/>
              <w:tabs>
                <w:tab w:val="left" w:pos="422"/>
              </w:tabs>
              <w:bidi w:val="0"/>
              <w:spacing w:before="0" w:after="0" w:line="340" w:lineRule="exact"/>
              <w:ind w:right="0" w:rightChars="0"/>
              <w:jc w:val="both"/>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危险货物停放区未与其他</w:t>
            </w:r>
            <w:r>
              <w:rPr>
                <w:rFonts w:hint="eastAsia" w:cs="宋体"/>
                <w:color w:val="000000"/>
                <w:spacing w:val="0"/>
                <w:w w:val="100"/>
                <w:position w:val="0"/>
                <w:sz w:val="21"/>
                <w:szCs w:val="21"/>
                <w:lang w:eastAsia="zh-CN"/>
              </w:rPr>
              <w:t>车辆</w:t>
            </w:r>
            <w:r>
              <w:rPr>
                <w:rFonts w:hint="eastAsia" w:ascii="宋体" w:hAnsi="宋体" w:eastAsia="宋体" w:cs="宋体"/>
                <w:color w:val="000000"/>
                <w:spacing w:val="0"/>
                <w:w w:val="100"/>
                <w:position w:val="0"/>
                <w:sz w:val="21"/>
                <w:szCs w:val="21"/>
              </w:rPr>
              <w:t>停车区分离的，不符合相关要求的，扣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未实现视频监控全覆盖的，扣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eastAsia="宋体"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highlight w:val="none"/>
                <w:lang w:val="en-US" w:eastAsia="zh-CN" w:bidi="ar"/>
              </w:rPr>
              <w:t>9.11联网监控（20</w:t>
            </w:r>
            <w:r>
              <w:rPr>
                <w:rFonts w:hint="default" w:ascii="Times New Roman" w:hAnsi="Times New Roman" w:eastAsia="宋体" w:cs="Times New Roman"/>
                <w:color w:val="auto"/>
                <w:kern w:val="0"/>
                <w:sz w:val="22"/>
                <w:szCs w:val="22"/>
                <w:highlight w:val="none"/>
                <w:lang w:val="en-US" w:eastAsia="zh-CN" w:bidi="ar"/>
              </w:rPr>
              <w:t>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251"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①企业应根据实际需求设置监控（分）中心及基层监控单元，负责所辖路段运营管理工作；监控（分）中心及基层监控单元设备配置符合相关要求</w:t>
            </w:r>
          </w:p>
        </w:tc>
        <w:tc>
          <w:tcPr>
            <w:tcW w:w="3341" w:type="dxa"/>
            <w:tcBorders>
              <w:tl2br w:val="nil"/>
              <w:tr2bl w:val="nil"/>
            </w:tcBorders>
            <w:shd w:val="clear" w:color="auto" w:fill="auto"/>
            <w:tcMar>
              <w:top w:w="75" w:type="dxa"/>
              <w:left w:w="90" w:type="dxa"/>
              <w:bottom w:w="75" w:type="dxa"/>
              <w:right w:w="90" w:type="dxa"/>
            </w:tcMar>
            <w:vAlign w:val="top"/>
          </w:tcPr>
          <w:p>
            <w:pPr>
              <w:pStyle w:val="40"/>
              <w:keepNext w:val="0"/>
              <w:keepLines w:val="0"/>
              <w:widowControl w:val="0"/>
              <w:shd w:val="clear" w:color="auto" w:fill="auto"/>
              <w:bidi w:val="0"/>
              <w:spacing w:before="0" w:after="0" w:line="252"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路段监控分中心应包括计算机系统、闭路电视系统、大屏幕显示系统、网络安全与管理系统和附属设施等。</w:t>
            </w:r>
          </w:p>
          <w:p>
            <w:pPr>
              <w:pStyle w:val="40"/>
              <w:keepNext w:val="0"/>
              <w:keepLines w:val="0"/>
              <w:widowControl w:val="0"/>
              <w:shd w:val="clear" w:color="auto" w:fill="auto"/>
              <w:bidi w:val="0"/>
              <w:spacing w:before="0" w:after="0" w:line="252"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高速公路监控系统外场设备各规模等级监控系统外场设备有相关配置要求：</w:t>
            </w:r>
          </w:p>
          <w:p>
            <w:pPr>
              <w:pStyle w:val="40"/>
              <w:keepNext w:val="0"/>
              <w:keepLines w:val="0"/>
              <w:widowControl w:val="0"/>
              <w:shd w:val="clear" w:color="auto" w:fill="auto"/>
              <w:bidi w:val="0"/>
              <w:spacing w:before="0" w:after="0" w:line="252" w:lineRule="exact"/>
              <w:ind w:left="0" w:leftChars="0" w:right="0" w:firstLine="0" w:firstLine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髙速公路</w:t>
            </w:r>
            <w:r>
              <w:rPr>
                <w:rFonts w:hint="eastAsia" w:ascii="宋体" w:hAnsi="宋体" w:eastAsia="宋体" w:cs="宋体"/>
                <w:b/>
                <w:bCs/>
                <w:color w:val="000000"/>
                <w:spacing w:val="0"/>
                <w:w w:val="100"/>
                <w:position w:val="0"/>
                <w:sz w:val="21"/>
                <w:szCs w:val="21"/>
                <w:lang w:val="en-US" w:eastAsia="en-US" w:bidi="en-US"/>
              </w:rPr>
              <w:t>A</w:t>
            </w:r>
            <w:r>
              <w:rPr>
                <w:rFonts w:hint="eastAsia" w:ascii="宋体" w:hAnsi="宋体" w:eastAsia="宋体" w:cs="宋体"/>
                <w:color w:val="000000"/>
                <w:spacing w:val="0"/>
                <w:w w:val="100"/>
                <w:position w:val="0"/>
                <w:sz w:val="21"/>
                <w:szCs w:val="21"/>
              </w:rPr>
              <w:t>级全程监控是在全线设置视频监视、动态信息发布及交通诱导设施，结合收费站、特大桥、隧道前、互通式立交、服务区等重点或有特殊需求路段，设置交通事件检测、交通</w:t>
            </w:r>
            <w:r>
              <w:rPr>
                <w:rFonts w:hint="eastAsia" w:cs="宋体"/>
                <w:color w:val="000000"/>
                <w:spacing w:val="0"/>
                <w:w w:val="100"/>
                <w:position w:val="0"/>
                <w:sz w:val="21"/>
                <w:szCs w:val="21"/>
                <w:lang w:val="en-US" w:eastAsia="zh-CN"/>
              </w:rPr>
              <w:t>量</w:t>
            </w:r>
            <w:r>
              <w:rPr>
                <w:rFonts w:hint="eastAsia" w:ascii="宋体" w:hAnsi="宋体" w:eastAsia="宋体" w:cs="宋体"/>
                <w:color w:val="000000"/>
                <w:spacing w:val="0"/>
                <w:w w:val="100"/>
                <w:position w:val="0"/>
                <w:sz w:val="21"/>
                <w:szCs w:val="21"/>
              </w:rPr>
              <w:t>检测、环境信息检测、匝道控制设施。实现全线的全程监控、动态信息发布和交通诱导。</w:t>
            </w:r>
          </w:p>
          <w:p>
            <w:pPr>
              <w:pStyle w:val="40"/>
              <w:keepNext w:val="0"/>
              <w:keepLines w:val="0"/>
              <w:widowControl w:val="0"/>
              <w:shd w:val="clear" w:color="auto" w:fill="auto"/>
              <w:bidi w:val="0"/>
              <w:spacing w:before="0" w:after="0" w:line="252" w:lineRule="exact"/>
              <w:ind w:left="0" w:leftChars="0" w:right="0" w:rightChars="0" w:firstLine="0" w:firstLineChars="0"/>
              <w:jc w:val="both"/>
              <w:rPr>
                <w:rFonts w:hint="eastAsia"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4.</w:t>
            </w:r>
            <w:r>
              <w:rPr>
                <w:rFonts w:hint="eastAsia" w:ascii="宋体" w:hAnsi="宋体" w:eastAsia="宋体" w:cs="宋体"/>
                <w:color w:val="000000"/>
                <w:spacing w:val="0"/>
                <w:w w:val="100"/>
                <w:position w:val="0"/>
                <w:sz w:val="21"/>
                <w:szCs w:val="21"/>
              </w:rPr>
              <w:t>高速公路</w:t>
            </w:r>
            <w:r>
              <w:rPr>
                <w:rFonts w:hint="eastAsia" w:ascii="宋体" w:hAnsi="宋体" w:eastAsia="宋体" w:cs="宋体"/>
                <w:b/>
                <w:bCs/>
                <w:color w:val="000000"/>
                <w:spacing w:val="0"/>
                <w:w w:val="100"/>
                <w:position w:val="0"/>
                <w:sz w:val="21"/>
                <w:szCs w:val="21"/>
                <w:lang w:val="en-US" w:eastAsia="en-US" w:bidi="en-US"/>
              </w:rPr>
              <w:t>B</w:t>
            </w:r>
            <w:r>
              <w:rPr>
                <w:rFonts w:hint="eastAsia" w:ascii="宋体" w:hAnsi="宋体" w:eastAsia="宋体" w:cs="宋体"/>
                <w:color w:val="000000"/>
                <w:spacing w:val="0"/>
                <w:w w:val="100"/>
                <w:position w:val="0"/>
                <w:sz w:val="21"/>
                <w:szCs w:val="21"/>
              </w:rPr>
              <w:t>级分段监控是在收费站、特大桥、互通式立交、服务区等重点或有特殊需求路段，设置视频监视、交通事件检测、交通量检测、环境信息检测、匝道控制、动态信息发布及交通诱导设施。实现全线的重点监控、动态信息发布和交通诱导</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b/>
                <w:bCs/>
                <w:color w:val="000000"/>
                <w:spacing w:val="0"/>
                <w:w w:val="100"/>
                <w:position w:val="0"/>
                <w:sz w:val="21"/>
                <w:szCs w:val="21"/>
                <w:lang w:val="en-US" w:eastAsia="en-US" w:bidi="en-US"/>
              </w:rPr>
              <w:t>★</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32"/>
              </w:tabs>
              <w:bidi w:val="0"/>
              <w:spacing w:before="0" w:after="0" w:line="252"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1.</w:t>
            </w:r>
            <w:r>
              <w:rPr>
                <w:rFonts w:hint="eastAsia" w:ascii="宋体" w:hAnsi="宋体" w:eastAsia="宋体" w:cs="宋体"/>
                <w:color w:val="000000"/>
                <w:spacing w:val="0"/>
                <w:w w:val="100"/>
                <w:position w:val="0"/>
                <w:sz w:val="21"/>
                <w:szCs w:val="21"/>
              </w:rPr>
              <w:t>未建立监控（分）中心及基层监控单元的，不得分；</w:t>
            </w:r>
          </w:p>
          <w:p>
            <w:pPr>
              <w:pStyle w:val="40"/>
              <w:keepNext w:val="0"/>
              <w:keepLines w:val="0"/>
              <w:widowControl w:val="0"/>
              <w:numPr>
                <w:ilvl w:val="0"/>
                <w:numId w:val="0"/>
              </w:numPr>
              <w:shd w:val="clear" w:color="auto" w:fill="auto"/>
              <w:tabs>
                <w:tab w:val="left" w:pos="439"/>
              </w:tabs>
              <w:bidi w:val="0"/>
              <w:spacing w:before="0" w:after="0" w:line="255" w:lineRule="exact"/>
              <w:ind w:right="0" w:rightChars="0"/>
              <w:jc w:val="both"/>
              <w:rPr>
                <w:rFonts w:hint="eastAsia" w:ascii="宋体" w:hAnsi="宋体" w:eastAsia="宋体" w:cs="宋体"/>
                <w:sz w:val="21"/>
                <w:szCs w:val="21"/>
              </w:rPr>
            </w:pPr>
            <w:r>
              <w:rPr>
                <w:rFonts w:hint="eastAsia" w:cs="宋体"/>
                <w:color w:val="000000"/>
                <w:spacing w:val="0"/>
                <w:w w:val="100"/>
                <w:position w:val="0"/>
                <w:sz w:val="21"/>
                <w:szCs w:val="21"/>
                <w:lang w:val="en-US" w:eastAsia="zh-CN"/>
              </w:rPr>
              <w:t>2.</w:t>
            </w:r>
            <w:r>
              <w:rPr>
                <w:rFonts w:hint="eastAsia" w:ascii="宋体" w:hAnsi="宋体" w:eastAsia="宋体" w:cs="宋体"/>
                <w:color w:val="000000"/>
                <w:spacing w:val="0"/>
                <w:w w:val="100"/>
                <w:position w:val="0"/>
                <w:sz w:val="21"/>
                <w:szCs w:val="21"/>
              </w:rPr>
              <w:t>监控（分）中心及基层监控单元设备配置不符合要求的，不得分；</w:t>
            </w:r>
          </w:p>
          <w:p>
            <w:pPr>
              <w:pStyle w:val="40"/>
              <w:keepNext w:val="0"/>
              <w:keepLines w:val="0"/>
              <w:widowControl w:val="0"/>
              <w:numPr>
                <w:ilvl w:val="0"/>
                <w:numId w:val="0"/>
              </w:numPr>
              <w:shd w:val="clear" w:color="auto" w:fill="auto"/>
              <w:tabs>
                <w:tab w:val="left" w:pos="425"/>
              </w:tabs>
              <w:bidi w:val="0"/>
              <w:spacing w:before="0" w:after="0" w:line="255" w:lineRule="exact"/>
              <w:ind w:right="0" w:rightChars="0"/>
              <w:jc w:val="both"/>
              <w:rPr>
                <w:rFonts w:hint="default" w:ascii="Times New Roman" w:hAnsi="Times New Roman" w:eastAsia="宋体" w:cs="Times New Roman"/>
                <w:color w:val="auto"/>
                <w:kern w:val="0"/>
                <w:sz w:val="22"/>
                <w:szCs w:val="22"/>
                <w:lang w:val="en-US" w:eastAsia="zh-CN" w:bidi="ar"/>
              </w:rPr>
            </w:pPr>
            <w:r>
              <w:rPr>
                <w:rFonts w:hint="eastAsia" w:cs="宋体"/>
                <w:color w:val="000000"/>
                <w:spacing w:val="0"/>
                <w:w w:val="100"/>
                <w:position w:val="0"/>
                <w:sz w:val="21"/>
                <w:szCs w:val="21"/>
                <w:lang w:val="en-US" w:eastAsia="zh-CN"/>
              </w:rPr>
              <w:t>3.</w:t>
            </w:r>
            <w:r>
              <w:rPr>
                <w:rFonts w:hint="eastAsia" w:ascii="宋体" w:hAnsi="宋体" w:eastAsia="宋体" w:cs="宋体"/>
                <w:color w:val="000000"/>
                <w:spacing w:val="0"/>
                <w:w w:val="100"/>
                <w:position w:val="0"/>
                <w:sz w:val="21"/>
                <w:szCs w:val="21"/>
              </w:rPr>
              <w:t>监控系统未结合收费站、特大桥、隧道前、互通式立交、服务区等重点或有特殊需求路段的，设置交通事件检测、</w:t>
            </w:r>
            <w:r>
              <w:rPr>
                <w:rFonts w:hint="eastAsia" w:ascii="宋体" w:hAnsi="宋体" w:eastAsia="宋体" w:cs="宋体"/>
                <w:color w:val="000000"/>
                <w:spacing w:val="0"/>
                <w:w w:val="100"/>
                <w:position w:val="0"/>
                <w:sz w:val="21"/>
                <w:szCs w:val="21"/>
                <w:highlight w:val="none"/>
              </w:rPr>
              <w:t>交通</w:t>
            </w:r>
            <w:r>
              <w:rPr>
                <w:rFonts w:hint="eastAsia" w:cs="宋体"/>
                <w:color w:val="000000"/>
                <w:spacing w:val="0"/>
                <w:w w:val="100"/>
                <w:position w:val="0"/>
                <w:sz w:val="21"/>
                <w:szCs w:val="21"/>
                <w:highlight w:val="none"/>
                <w:lang w:val="en-US" w:eastAsia="zh-CN"/>
              </w:rPr>
              <w:t>量</w:t>
            </w:r>
            <w:r>
              <w:rPr>
                <w:rFonts w:hint="eastAsia" w:ascii="宋体" w:hAnsi="宋体" w:eastAsia="宋体" w:cs="宋体"/>
                <w:color w:val="000000"/>
                <w:spacing w:val="0"/>
                <w:w w:val="100"/>
                <w:position w:val="0"/>
                <w:sz w:val="21"/>
                <w:szCs w:val="21"/>
                <w:highlight w:val="none"/>
              </w:rPr>
              <w:t>检测</w:t>
            </w:r>
            <w:r>
              <w:rPr>
                <w:rFonts w:hint="eastAsia" w:ascii="宋体" w:hAnsi="宋体" w:eastAsia="宋体" w:cs="宋体"/>
                <w:color w:val="000000"/>
                <w:spacing w:val="0"/>
                <w:w w:val="100"/>
                <w:position w:val="0"/>
                <w:sz w:val="21"/>
                <w:szCs w:val="21"/>
              </w:rPr>
              <w:t>、环境信息检测、匝道控制、动态信息发布和交通诱导设施的，每一处扣</w:t>
            </w:r>
            <w:r>
              <w:rPr>
                <w:rFonts w:hint="eastAsia" w:ascii="宋体" w:hAnsi="宋体" w:eastAsia="宋体" w:cs="宋体"/>
                <w:b/>
                <w:bCs/>
                <w:color w:val="000000"/>
                <w:spacing w:val="0"/>
                <w:w w:val="100"/>
                <w:position w:val="0"/>
                <w:sz w:val="21"/>
                <w:szCs w:val="21"/>
              </w:rPr>
              <w:t>1</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25"/>
              </w:tabs>
              <w:bidi w:val="0"/>
              <w:spacing w:before="0" w:after="0" w:line="255" w:lineRule="exact"/>
              <w:ind w:right="0" w:rightChars="0"/>
              <w:jc w:val="both"/>
              <w:rPr>
                <w:rFonts w:hint="eastAsia" w:cs="宋体"/>
                <w:color w:val="000000"/>
                <w:spacing w:val="0"/>
                <w:w w:val="100"/>
                <w:position w:val="0"/>
                <w:sz w:val="21"/>
                <w:szCs w:val="21"/>
                <w:lang w:val="en-US" w:eastAsia="zh-CN"/>
              </w:rPr>
            </w:pPr>
          </w:p>
        </w:tc>
        <w:tc>
          <w:tcPr>
            <w:tcW w:w="123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numPr>
                <w:ilvl w:val="0"/>
                <w:numId w:val="0"/>
              </w:numPr>
              <w:shd w:val="clear" w:color="auto" w:fill="auto"/>
              <w:tabs>
                <w:tab w:val="left" w:pos="425"/>
              </w:tabs>
              <w:bidi w:val="0"/>
              <w:spacing w:before="0" w:after="0" w:line="255" w:lineRule="exact"/>
              <w:ind w:right="0" w:rightChars="0"/>
              <w:jc w:val="both"/>
              <w:rPr>
                <w:rFonts w:hint="eastAsia" w:cs="宋体"/>
                <w:color w:val="000000"/>
                <w:spacing w:val="0"/>
                <w:w w:val="100"/>
                <w:position w:val="0"/>
                <w:sz w:val="21"/>
                <w:szCs w:val="21"/>
                <w:lang w:val="en-US" w:eastAsia="zh-CN"/>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11"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②企业应完善监控、通信等系统设施，达到联网运行的标准和要求，并应加强设备和设施维护，使其处于良好的技术状况，保证联网运行系统的正常工作</w:t>
            </w:r>
          </w:p>
        </w:tc>
        <w:tc>
          <w:tcPr>
            <w:tcW w:w="3341" w:type="dxa"/>
            <w:tcBorders>
              <w:tl2br w:val="nil"/>
              <w:tr2bl w:val="nil"/>
            </w:tcBorders>
            <w:shd w:val="clear" w:color="auto" w:fill="auto"/>
            <w:tcMar>
              <w:top w:w="75" w:type="dxa"/>
              <w:left w:w="90" w:type="dxa"/>
              <w:bottom w:w="75" w:type="dxa"/>
              <w:right w:w="90" w:type="dxa"/>
            </w:tcMar>
            <w:vAlign w:val="top"/>
          </w:tcPr>
          <w:p>
            <w:pPr>
              <w:pStyle w:val="40"/>
              <w:keepNext w:val="0"/>
              <w:keepLines w:val="0"/>
              <w:widowControl w:val="0"/>
              <w:shd w:val="clear" w:color="auto" w:fill="auto"/>
              <w:bidi w:val="0"/>
              <w:spacing w:before="0" w:after="0" w:line="312" w:lineRule="exact"/>
              <w:ind w:left="0" w:leftChars="0" w:right="0" w:rightChars="0" w:firstLine="300" w:firstLineChars="0"/>
              <w:jc w:val="both"/>
              <w:rPr>
                <w:rFonts w:hint="eastAsia"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依据《公路网运行监测与服务暂行技术要求》《公路工程技术标准》《高速公路监控技术要求》等，高速公路运营企业应完善公路附属监控、通信等系统设施，达到联网运行的标准和要求，并加强设备和设施维护，使其处于良好的技术状况，保证联网运行系统的正常工作</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254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07" w:lineRule="exact"/>
              <w:ind w:left="0" w:leftChars="0" w:right="0" w:rightChars="0" w:firstLine="0" w:firstLineChars="0"/>
              <w:jc w:val="both"/>
              <w:rPr>
                <w:rFonts w:hint="default" w:ascii="Times New Roman" w:hAnsi="Times New Roman" w:eastAsia="宋体" w:cs="Times New Roman"/>
                <w:color w:val="auto"/>
                <w:kern w:val="0"/>
                <w:sz w:val="22"/>
                <w:szCs w:val="22"/>
                <w:lang w:val="en-US" w:eastAsia="zh-CN" w:bidi="ar"/>
              </w:rPr>
            </w:pPr>
            <w:r>
              <w:rPr>
                <w:rFonts w:hint="eastAsia" w:ascii="宋体" w:hAnsi="宋体" w:eastAsia="宋体" w:cs="宋体"/>
                <w:color w:val="000000"/>
                <w:spacing w:val="0"/>
                <w:w w:val="100"/>
                <w:position w:val="0"/>
                <w:sz w:val="21"/>
                <w:szCs w:val="21"/>
              </w:rPr>
              <w:t>监控、通信系统未达到联网运行的标准和要求的,每处扣</w:t>
            </w:r>
            <w:r>
              <w:rPr>
                <w:rFonts w:hint="eastAsia" w:ascii="宋体" w:hAnsi="宋体" w:eastAsia="宋体" w:cs="宋体"/>
                <w:b/>
                <w:bCs/>
                <w:color w:val="000000"/>
                <w:spacing w:val="0"/>
                <w:w w:val="100"/>
                <w:position w:val="0"/>
                <w:sz w:val="21"/>
                <w:szCs w:val="21"/>
              </w:rPr>
              <w:t>2</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07" w:lineRule="exact"/>
              <w:ind w:left="0" w:leftChars="0" w:right="0" w:rightChars="0" w:firstLine="0" w:firstLineChars="0"/>
              <w:jc w:val="both"/>
              <w:rPr>
                <w:rFonts w:hint="eastAsia" w:ascii="宋体" w:hAnsi="宋体" w:eastAsia="宋体" w:cs="宋体"/>
                <w:color w:val="000000"/>
                <w:spacing w:val="0"/>
                <w:w w:val="100"/>
                <w:position w:val="0"/>
                <w:sz w:val="21"/>
                <w:szCs w:val="21"/>
              </w:rPr>
            </w:pPr>
          </w:p>
        </w:tc>
        <w:tc>
          <w:tcPr>
            <w:tcW w:w="1231" w:type="dxa"/>
            <w:tcBorders>
              <w:tl2br w:val="nil"/>
              <w:tr2bl w:val="nil"/>
            </w:tcBorders>
            <w:shd w:val="clear" w:color="auto" w:fill="auto"/>
            <w:tcMar>
              <w:top w:w="75" w:type="dxa"/>
              <w:left w:w="90" w:type="dxa"/>
              <w:bottom w:w="75" w:type="dxa"/>
              <w:right w:w="90" w:type="dxa"/>
            </w:tcMar>
            <w:vAlign w:val="center"/>
          </w:tcPr>
          <w:p>
            <w:pPr>
              <w:pStyle w:val="40"/>
              <w:keepNext w:val="0"/>
              <w:keepLines w:val="0"/>
              <w:widowControl w:val="0"/>
              <w:shd w:val="clear" w:color="auto" w:fill="auto"/>
              <w:bidi w:val="0"/>
              <w:spacing w:before="0" w:after="0" w:line="307" w:lineRule="exact"/>
              <w:ind w:left="0" w:leftChars="0" w:right="0" w:rightChars="0" w:firstLine="0" w:firstLineChars="0"/>
              <w:jc w:val="both"/>
              <w:rPr>
                <w:rFonts w:hint="eastAsia" w:ascii="宋体" w:hAnsi="宋体" w:eastAsia="宋体" w:cs="宋体"/>
                <w:color w:val="000000"/>
                <w:spacing w:val="0"/>
                <w:w w:val="100"/>
                <w:position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w:t>
            </w:r>
            <w:r>
              <w:rPr>
                <w:rFonts w:hint="default" w:ascii="Times New Roman" w:hAnsi="Times New Roman" w:eastAsia="宋体" w:cs="Times New Roman"/>
                <w:color w:val="auto"/>
                <w:kern w:val="0"/>
                <w:sz w:val="22"/>
                <w:szCs w:val="22"/>
                <w:lang w:val="en-US" w:eastAsia="zh-CN" w:bidi="ar"/>
              </w:rPr>
              <w:t xml:space="preserve">风险管理 </w:t>
            </w:r>
            <w:r>
              <w:rPr>
                <w:rFonts w:hint="eastAsia" w:ascii="Times New Roman" w:hAnsi="Times New Roman" w:eastAsia="宋体" w:cs="Times New Roman"/>
                <w:color w:val="auto"/>
                <w:kern w:val="0"/>
                <w:sz w:val="22"/>
                <w:szCs w:val="22"/>
                <w:lang w:val="en-US" w:eastAsia="zh-CN" w:bidi="ar"/>
              </w:rPr>
              <w:t>80</w:t>
            </w:r>
            <w:r>
              <w:rPr>
                <w:rFonts w:hint="default" w:ascii="Times New Roman" w:hAnsi="Times New Roman" w:eastAsia="宋体" w:cs="Times New Roman"/>
                <w:color w:val="auto"/>
                <w:kern w:val="0"/>
                <w:sz w:val="22"/>
                <w:szCs w:val="22"/>
                <w:lang w:val="en-US" w:eastAsia="zh-CN" w:bidi="ar"/>
              </w:rPr>
              <w:t>分</w:t>
            </w: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10.1 一般要求</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企业应依法依规建立健全安全生产风险管理制度，选定合适的风险评估方法，明确风险评估规则</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第四条</w:t>
            </w:r>
            <w:r>
              <w:rPr>
                <w:rFonts w:hint="eastAsia" w:ascii="Times New Roman" w:hAnsi="Times New Roman" w:eastAsia="宋体" w:cs="Times New Roman"/>
                <w:color w:val="auto"/>
                <w:kern w:val="0"/>
                <w:sz w:val="22"/>
                <w:szCs w:val="22"/>
                <w:lang w:val="en-US" w:eastAsia="zh-CN" w:bidi="ar"/>
              </w:rPr>
              <w:t xml:space="preserve"> </w:t>
            </w:r>
            <w:r>
              <w:rPr>
                <w:rFonts w:hint="default" w:ascii="Times New Roman" w:hAnsi="Times New Roman" w:eastAsia="宋体" w:cs="Times New Roman"/>
                <w:color w:val="auto"/>
                <w:kern w:val="0"/>
                <w:sz w:val="22"/>
                <w:szCs w:val="22"/>
                <w:lang w:val="en-US" w:eastAsia="zh-CN" w:bidi="ar"/>
              </w:rPr>
              <w:t>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企业应编制风险评价规则，规则应根据不同岗位、过程和场所辨识风险，从发生危险的可能性和严重程度等方面对风险因素进行分析，选择采用合适的风险评估方法。</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未制定发布企业安全生产风险管理工作制度</w:t>
            </w:r>
            <w:r>
              <w:rPr>
                <w:rFonts w:hint="eastAsia" w:ascii="Times New Roman" w:hAnsi="Times New Roman" w:eastAsia="宋体" w:cs="Times New Roman"/>
                <w:color w:val="auto"/>
                <w:kern w:val="0"/>
                <w:sz w:val="22"/>
                <w:szCs w:val="22"/>
                <w:lang w:val="en-US" w:eastAsia="zh-CN" w:bidi="ar"/>
              </w:rPr>
              <w:t>，辨识、评价方法和准则不明确的，不符合</w:t>
            </w:r>
            <w:r>
              <w:rPr>
                <w:rFonts w:hint="default" w:ascii="Times New Roman" w:hAnsi="Times New Roman" w:eastAsia="宋体" w:cs="Times New Roman"/>
                <w:color w:val="auto"/>
                <w:kern w:val="0"/>
                <w:sz w:val="22"/>
                <w:szCs w:val="22"/>
                <w:lang w:val="en-US" w:eastAsia="zh-CN" w:bidi="ar"/>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 xml:space="preserve"> 风险</w:t>
            </w:r>
            <w:r>
              <w:rPr>
                <w:rFonts w:hint="eastAsia" w:ascii="Times New Roman" w:hAnsi="Times New Roman" w:eastAsia="宋体" w:cs="Times New Roman"/>
                <w:color w:val="auto"/>
                <w:kern w:val="0"/>
                <w:sz w:val="22"/>
                <w:szCs w:val="22"/>
                <w:lang w:val="en-US" w:eastAsia="zh-CN" w:bidi="ar"/>
              </w:rPr>
              <w:t>辨识</w:t>
            </w:r>
            <w:r>
              <w:rPr>
                <w:rFonts w:hint="default" w:ascii="Times New Roman" w:hAnsi="Times New Roman" w:eastAsia="宋体" w:cs="Times New Roman"/>
                <w:color w:val="auto"/>
                <w:kern w:val="0"/>
                <w:sz w:val="22"/>
                <w:szCs w:val="22"/>
                <w:lang w:val="en-US" w:eastAsia="zh-CN" w:bidi="ar"/>
              </w:rPr>
              <w:t>评估</w:t>
            </w:r>
            <w:r>
              <w:rPr>
                <w:rFonts w:hint="eastAsia" w:ascii="Times New Roman" w:hAnsi="Times New Roman" w:eastAsia="宋体" w:cs="Times New Roman"/>
                <w:color w:val="auto"/>
                <w:kern w:val="0"/>
                <w:sz w:val="22"/>
                <w:szCs w:val="22"/>
                <w:lang w:val="en-US" w:eastAsia="zh-CN" w:bidi="ar"/>
              </w:rPr>
              <w:t>（30分）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企业应从发生危险的可能性和严重程度等方面对风险因素进行分析，开展本单位管理范围内的风险辨识、评估、管控等工作</w:t>
            </w:r>
            <w:r>
              <w:rPr>
                <w:rFonts w:hint="eastAsia" w:ascii="Times New Roman" w:hAnsi="Times New Roman" w:eastAsia="宋体" w:cs="Times New Roman"/>
                <w:color w:val="auto"/>
                <w:kern w:val="0"/>
                <w:sz w:val="22"/>
                <w:szCs w:val="22"/>
                <w:lang w:val="en-US" w:eastAsia="zh-CN" w:bidi="ar"/>
              </w:rPr>
              <w:t>。</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rPr>
            </w:pPr>
            <w:r>
              <w:rPr>
                <w:rFonts w:hint="eastAsia" w:ascii="宋体" w:hAnsi="宋体"/>
                <w:sz w:val="22"/>
                <w:szCs w:val="22"/>
              </w:rPr>
              <w:t>依据</w:t>
            </w:r>
            <w:r>
              <w:rPr>
                <w:rFonts w:ascii="宋体" w:hAnsi="宋体"/>
                <w:sz w:val="22"/>
                <w:szCs w:val="22"/>
              </w:rPr>
              <w:t>《</w:t>
            </w:r>
            <w:r>
              <w:rPr>
                <w:rFonts w:hint="eastAsia" w:ascii="宋体" w:hAnsi="宋体"/>
                <w:sz w:val="22"/>
                <w:szCs w:val="22"/>
              </w:rPr>
              <w:t>公路水路行业</w:t>
            </w:r>
            <w:r>
              <w:rPr>
                <w:rFonts w:ascii="宋体" w:hAnsi="宋体"/>
                <w:sz w:val="22"/>
                <w:szCs w:val="22"/>
              </w:rPr>
              <w:t>安全生产风险管理</w:t>
            </w:r>
            <w:r>
              <w:rPr>
                <w:rFonts w:hint="eastAsia" w:ascii="宋体" w:hAnsi="宋体"/>
                <w:sz w:val="22"/>
                <w:szCs w:val="22"/>
              </w:rPr>
              <w:t>暂行办法</w:t>
            </w:r>
            <w:r>
              <w:rPr>
                <w:rFonts w:ascii="宋体" w:hAnsi="宋体"/>
                <w:sz w:val="22"/>
                <w:szCs w:val="22"/>
              </w:rPr>
              <w:t>》</w:t>
            </w:r>
            <w:r>
              <w:rPr>
                <w:rFonts w:hint="eastAsia" w:ascii="宋体" w:hAnsi="宋体"/>
                <w:sz w:val="22"/>
                <w:szCs w:val="22"/>
              </w:rPr>
              <w:t>第十一条明确要求：生产经营单位应针对本单位生产经营活动范围及其生产经营环节，按照相关法规标准要求，编制风险辨识手册，明确风险辨识范围、方式和程序。</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风险辨识是运用各种方法对尚未发生的潜在风险以及客观存在的各种风险进行系统归类和全面识别。</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辨识范围：</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 xml:space="preserve">（一）从业人员安全意识、安全与应急技能、安全行为或状态；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 xml:space="preserve">（二）生产经营场所、运输车辆、停车场、道路运输等设施设备的安全可靠性以及运行风险；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val="en-US" w:eastAsia="zh-CN"/>
              </w:rPr>
            </w:pPr>
            <w:r>
              <w:rPr>
                <w:rFonts w:hint="eastAsia" w:ascii="宋体" w:hAnsi="宋体"/>
                <w:sz w:val="22"/>
                <w:szCs w:val="22"/>
                <w:lang w:val="en-US" w:eastAsia="zh-CN"/>
              </w:rPr>
              <w:t xml:space="preserve">（三）影响安全生产外部要素的环境；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宋体" w:hAnsi="宋体"/>
                <w:sz w:val="22"/>
                <w:szCs w:val="22"/>
                <w:lang w:val="en-US" w:eastAsia="zh-CN"/>
              </w:rPr>
              <w:t>（四）安全生产的管理机构、工作机制及安全生产管理制度合规和完备性</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无风险辨识、评估等工作的记录，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风险清单无风险等级，</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750" w:hRule="atLeast"/>
        </w:trPr>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eastAsia"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eastAsia" w:ascii="宋体" w:hAnsi="宋体" w:eastAsia="宋体" w:cs="宋体"/>
                <w:color w:val="000000"/>
                <w:spacing w:val="0"/>
                <w:w w:val="100"/>
                <w:position w:val="0"/>
                <w:sz w:val="21"/>
                <w:szCs w:val="21"/>
              </w:rPr>
              <w:t>风险辨识应系统、全面，并进行动态更新</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宋体" w:hAnsi="宋体"/>
                <w:sz w:val="22"/>
                <w:szCs w:val="22"/>
                <w:lang w:val="en-US" w:eastAsia="zh-CN"/>
              </w:rPr>
            </w:pPr>
            <w:r>
              <w:rPr>
                <w:rFonts w:hint="eastAsia" w:ascii="宋体" w:hAnsi="宋体"/>
                <w:sz w:val="22"/>
                <w:szCs w:val="22"/>
                <w:lang w:val="en-US" w:eastAsia="zh-CN"/>
              </w:rPr>
              <w:t>企业风险是一个复杂的系统，其中包括不同类型、不同性质、不同损失程度的各种风险，故对风险进行识别，应该全面系统地考察、了解各种风险事件存在和可能发生的概率以及损失的严重程度，风险因素及因风险的出现而导致的其他问题。因此，必须系统、全面了解各种风险的存在和发生及其将引起的损失后果的详细情况，以便及时而清楚地为决策者提供比较完备的决策信息。同时，风险随生产工艺、装备和过程变化、环境变化、人的因素和管理的变化,风险致险因素、危害程度等也发生变化，相应的控制方法和措施也应随之改变,因此应进行动态更新。</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eastAsia"/>
                <w:lang w:val="en-US" w:eastAsia="zh-CN"/>
              </w:rPr>
              <w:t>1.未开展风险辨识评价的，不得分</w:t>
            </w:r>
            <w:r>
              <w:rPr>
                <w:rFonts w:hint="default"/>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eastAsia"/>
                <w:lang w:val="en-US" w:eastAsia="zh-CN"/>
              </w:rPr>
              <w:t>2.风险辨识评估不全面，缺失一项扣2分。</w:t>
            </w:r>
          </w:p>
          <w:p>
            <w:pPr>
              <w:pStyle w:val="2"/>
              <w:ind w:left="0" w:leftChars="0" w:firstLine="0" w:firstLineChars="0"/>
              <w:rPr>
                <w:rFonts w:hint="default"/>
                <w:lang w:val="en-US" w:eastAsia="zh-CN"/>
              </w:rPr>
            </w:pPr>
            <w:r>
              <w:rPr>
                <w:rFonts w:hint="eastAsia" w:hAnsi="Times New Roman" w:eastAsia="宋体" w:cs="Times New Roman"/>
                <w:color w:val="000000" w:themeColor="text1"/>
                <w:kern w:val="0"/>
                <w:sz w:val="22"/>
                <w:szCs w:val="22"/>
                <w:lang w:val="en-US" w:eastAsia="zh-CN" w:bidi="ar"/>
                <w14:textFill>
                  <w14:solidFill>
                    <w14:schemeClr w14:val="tx1"/>
                  </w14:solidFill>
                </w14:textFill>
              </w:rPr>
              <w:t>3.</w:t>
            </w:r>
            <w:r>
              <w:rPr>
                <w:rFonts w:hint="eastAsia" w:ascii="宋体" w:hAnsi="宋体" w:eastAsia="宋体" w:cs="宋体"/>
                <w:color w:val="000000"/>
                <w:spacing w:val="0"/>
                <w:w w:val="100"/>
                <w:position w:val="0"/>
                <w:sz w:val="21"/>
                <w:szCs w:val="21"/>
              </w:rPr>
              <w:t>风险清单未及时更新，扣</w:t>
            </w:r>
            <w:r>
              <w:rPr>
                <w:rFonts w:hint="eastAsia" w:ascii="宋体" w:hAnsi="宋体" w:eastAsia="宋体" w:cs="宋体"/>
                <w:b/>
                <w:bCs/>
                <w:color w:val="000000"/>
                <w:spacing w:val="0"/>
                <w:w w:val="100"/>
                <w:position w:val="0"/>
                <w:sz w:val="21"/>
                <w:szCs w:val="21"/>
                <w:lang w:val="en-US" w:eastAsia="zh-CN"/>
              </w:rPr>
              <w:t>5</w:t>
            </w:r>
            <w:r>
              <w:rPr>
                <w:rFonts w:hint="eastAsia" w:ascii="宋体" w:hAnsi="宋体" w:eastAsia="宋体" w:cs="宋体"/>
                <w:color w:val="000000"/>
                <w:spacing w:val="0"/>
                <w:w w:val="100"/>
                <w:position w:val="0"/>
                <w:sz w:val="21"/>
                <w:szCs w:val="21"/>
              </w:rPr>
              <w:t>分</w:t>
            </w:r>
          </w:p>
        </w:tc>
        <w:tc>
          <w:tcPr>
            <w:tcW w:w="1392"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pStyle w:val="2"/>
              <w:ind w:left="0" w:leftChars="0" w:firstLine="0" w:firstLineChars="0"/>
              <w:rPr>
                <w:rFonts w:hint="eastAsia"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10.3</w:t>
            </w:r>
            <w:r>
              <w:rPr>
                <w:rFonts w:hint="default" w:ascii="Times New Roman" w:hAnsi="Times New Roman" w:eastAsia="宋体" w:cs="Times New Roman"/>
                <w:color w:val="auto"/>
                <w:kern w:val="0"/>
                <w:sz w:val="22"/>
                <w:szCs w:val="22"/>
                <w:lang w:val="en-US" w:eastAsia="zh-CN" w:bidi="ar"/>
              </w:rPr>
              <w:t>风险控制</w:t>
            </w:r>
            <w:r>
              <w:rPr>
                <w:rFonts w:hint="eastAsia" w:ascii="Times New Roman" w:hAnsi="Times New Roman" w:eastAsia="宋体" w:cs="Times New Roman"/>
                <w:color w:val="auto"/>
                <w:kern w:val="0"/>
                <w:sz w:val="22"/>
                <w:szCs w:val="22"/>
                <w:lang w:val="en-US" w:eastAsia="zh-CN" w:bidi="ar"/>
              </w:rPr>
              <w:t>（20分）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建立风险管控清单，</w:t>
            </w:r>
            <w:r>
              <w:rPr>
                <w:rFonts w:hint="default" w:ascii="Times New Roman" w:hAnsi="Times New Roman" w:eastAsia="宋体" w:cs="Times New Roman"/>
                <w:color w:val="auto"/>
                <w:kern w:val="0"/>
                <w:sz w:val="22"/>
                <w:szCs w:val="22"/>
                <w:lang w:val="en-US" w:eastAsia="zh-CN" w:bidi="ar"/>
              </w:rPr>
              <w:t>企业应根据风险评估结果及经营运行情况等，按以下顺序确定控制措施： a）消除； b）替代；</w:t>
            </w:r>
            <w:r>
              <w:rPr>
                <w:rFonts w:hint="default" w:ascii="Times New Roman" w:hAnsi="Times New Roman" w:eastAsia="宋体" w:cs="Times New Roman"/>
                <w:color w:val="auto"/>
                <w:kern w:val="0"/>
                <w:sz w:val="22"/>
                <w:szCs w:val="22"/>
                <w:highlight w:val="none"/>
                <w:lang w:val="en-US" w:eastAsia="zh-CN" w:bidi="ar"/>
              </w:rPr>
              <w:t xml:space="preserve"> c）</w:t>
            </w:r>
            <w:r>
              <w:rPr>
                <w:rFonts w:hint="default" w:ascii="Times New Roman" w:hAnsi="Times New Roman" w:eastAsia="宋体" w:cs="Times New Roman"/>
                <w:color w:val="auto"/>
                <w:kern w:val="0"/>
                <w:sz w:val="22"/>
                <w:szCs w:val="22"/>
                <w:lang w:val="en-US" w:eastAsia="zh-CN" w:bidi="ar"/>
              </w:rPr>
              <w:t>设置标志警告和（或）管理控制措施； e）个体防护装备等</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企业应根据风险评价的结果及经营运行情况等，确定不可接受的风险，制定并落实控制措施，将风险尤其是重大风险控制在可以接受的程度；风险控制措施符合相关标准要求。企业在选择风险控制措施时：</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1、应考虑：⑴可行性；⑵安全性；⑶可靠性。</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仿宋" w:hAnsi="仿宋" w:eastAsia="仿宋" w:cs="宋体"/>
                <w:kern w:val="0"/>
                <w:sz w:val="22"/>
                <w:szCs w:val="22"/>
              </w:rPr>
            </w:pPr>
            <w:r>
              <w:rPr>
                <w:rFonts w:hint="eastAsia" w:ascii="Times New Roman" w:hAnsi="Times New Roman" w:eastAsia="宋体" w:cs="Times New Roman"/>
                <w:color w:val="auto"/>
                <w:kern w:val="0"/>
                <w:sz w:val="22"/>
                <w:szCs w:val="22"/>
                <w:lang w:val="en-US" w:eastAsia="zh-CN" w:bidi="ar"/>
              </w:rPr>
              <w:t>2、应包括：⑴工程技术措施；⑵管理措施；⑶培训教育措施；⑷个体防护措施</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1.未建立风险管控清单；不符合。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2</w:t>
            </w:r>
            <w:r>
              <w:rPr>
                <w:rFonts w:hint="default" w:ascii="Times New Roman" w:hAnsi="Times New Roman" w:eastAsia="宋体" w:cs="Times New Roman"/>
                <w:color w:val="auto"/>
                <w:kern w:val="0"/>
                <w:sz w:val="22"/>
                <w:szCs w:val="22"/>
                <w:lang w:val="en-US" w:eastAsia="zh-CN" w:bidi="ar"/>
              </w:rPr>
              <w:t>.重大风险未登记或报备，</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3.未开展主要风险控制措施培训的，不符合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highlight w:val="none"/>
                <w:lang w:val="en-US" w:eastAsia="zh-CN" w:bidi="ar"/>
              </w:rPr>
              <w:t>10.</w:t>
            </w:r>
            <w:r>
              <w:rPr>
                <w:rFonts w:hint="eastAsia" w:ascii="Times New Roman" w:hAnsi="Times New Roman" w:eastAsia="宋体" w:cs="Times New Roman"/>
                <w:color w:val="auto"/>
                <w:kern w:val="0"/>
                <w:sz w:val="22"/>
                <w:szCs w:val="22"/>
                <w:highlight w:val="none"/>
                <w:lang w:val="en-US" w:eastAsia="zh-CN" w:bidi="ar"/>
              </w:rPr>
              <w:t>4</w:t>
            </w:r>
            <w:r>
              <w:rPr>
                <w:rFonts w:hint="default" w:ascii="Times New Roman" w:hAnsi="Times New Roman" w:eastAsia="宋体" w:cs="Times New Roman"/>
                <w:color w:val="auto"/>
                <w:kern w:val="0"/>
                <w:sz w:val="22"/>
                <w:szCs w:val="22"/>
                <w:highlight w:val="none"/>
                <w:lang w:val="en-US" w:eastAsia="zh-CN" w:bidi="ar"/>
              </w:rPr>
              <w:t xml:space="preserve"> 风险</w:t>
            </w:r>
            <w:r>
              <w:rPr>
                <w:rFonts w:hint="eastAsia" w:ascii="Times New Roman" w:hAnsi="Times New Roman" w:eastAsia="宋体" w:cs="Times New Roman"/>
                <w:color w:val="auto"/>
                <w:kern w:val="0"/>
                <w:sz w:val="22"/>
                <w:szCs w:val="22"/>
                <w:highlight w:val="none"/>
                <w:lang w:val="en-US" w:eastAsia="zh-CN" w:bidi="ar"/>
              </w:rPr>
              <w:t>分级</w:t>
            </w:r>
            <w:r>
              <w:rPr>
                <w:rFonts w:hint="default" w:ascii="Times New Roman" w:hAnsi="Times New Roman" w:eastAsia="宋体" w:cs="Times New Roman"/>
                <w:color w:val="auto"/>
                <w:kern w:val="0"/>
                <w:sz w:val="22"/>
                <w:szCs w:val="22"/>
                <w:highlight w:val="none"/>
                <w:lang w:val="en-US" w:eastAsia="zh-CN" w:bidi="ar"/>
              </w:rPr>
              <w:t xml:space="preserve">管控 </w:t>
            </w:r>
            <w:r>
              <w:rPr>
                <w:rFonts w:hint="eastAsia" w:ascii="Times New Roman" w:hAnsi="Times New Roman" w:eastAsia="宋体" w:cs="Times New Roman"/>
                <w:color w:val="auto"/>
                <w:kern w:val="0"/>
                <w:sz w:val="22"/>
                <w:szCs w:val="22"/>
                <w:lang w:val="en-US" w:eastAsia="zh-CN" w:bidi="ar"/>
              </w:rPr>
              <w:t>（10分）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企业</w:t>
            </w:r>
            <w:r>
              <w:rPr>
                <w:rFonts w:hint="eastAsia" w:ascii="Times New Roman" w:hAnsi="Times New Roman" w:eastAsia="宋体" w:cs="Times New Roman"/>
                <w:color w:val="auto"/>
                <w:kern w:val="0"/>
                <w:sz w:val="22"/>
                <w:szCs w:val="22"/>
                <w:lang w:val="en-US" w:eastAsia="zh-CN" w:bidi="ar"/>
              </w:rPr>
              <w:t>应根据</w:t>
            </w:r>
            <w:r>
              <w:rPr>
                <w:rFonts w:hint="default" w:ascii="Times New Roman" w:hAnsi="Times New Roman" w:eastAsia="宋体" w:cs="Times New Roman"/>
                <w:color w:val="auto"/>
                <w:kern w:val="0"/>
                <w:sz w:val="22"/>
                <w:szCs w:val="22"/>
                <w:lang w:val="en-US" w:eastAsia="zh-CN" w:bidi="ar"/>
              </w:rPr>
              <w:t>风险</w:t>
            </w:r>
            <w:r>
              <w:rPr>
                <w:rFonts w:hint="eastAsia" w:ascii="Times New Roman" w:hAnsi="Times New Roman" w:eastAsia="宋体" w:cs="Times New Roman"/>
                <w:color w:val="auto"/>
                <w:kern w:val="0"/>
                <w:sz w:val="22"/>
                <w:szCs w:val="22"/>
                <w:lang w:val="en-US" w:eastAsia="zh-CN" w:bidi="ar"/>
              </w:rPr>
              <w:t>辨识</w:t>
            </w:r>
            <w:r>
              <w:rPr>
                <w:rFonts w:hint="default" w:ascii="Times New Roman" w:hAnsi="Times New Roman" w:eastAsia="宋体" w:cs="Times New Roman"/>
                <w:color w:val="auto"/>
                <w:kern w:val="0"/>
                <w:sz w:val="22"/>
                <w:szCs w:val="22"/>
                <w:lang w:val="en-US" w:eastAsia="zh-CN" w:bidi="ar"/>
              </w:rPr>
              <w:t>评估</w:t>
            </w:r>
            <w:r>
              <w:rPr>
                <w:rFonts w:hint="eastAsia" w:ascii="Times New Roman" w:hAnsi="Times New Roman" w:eastAsia="宋体" w:cs="Times New Roman"/>
                <w:color w:val="auto"/>
                <w:kern w:val="0"/>
                <w:sz w:val="22"/>
                <w:szCs w:val="22"/>
                <w:lang w:val="en-US" w:eastAsia="zh-CN" w:bidi="ar"/>
              </w:rPr>
              <w:t>结果</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对安全风险进行分级管控</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w:t>
            </w:r>
            <w:r>
              <w:rPr>
                <w:rFonts w:hint="eastAsia" w:ascii="Times New Roman" w:hAnsi="Times New Roman" w:eastAsia="宋体" w:cs="Times New Roman"/>
                <w:color w:val="auto"/>
                <w:kern w:val="0"/>
                <w:sz w:val="22"/>
                <w:szCs w:val="22"/>
                <w:lang w:val="en-US" w:eastAsia="zh-CN" w:bidi="ar"/>
              </w:rPr>
              <w:t>安全生产法</w:t>
            </w:r>
            <w:r>
              <w:rPr>
                <w:rFonts w:hint="default" w:ascii="Times New Roman" w:hAnsi="Times New Roman" w:eastAsia="宋体" w:cs="Times New Roman"/>
                <w:color w:val="auto"/>
                <w:kern w:val="0"/>
                <w:sz w:val="22"/>
                <w:szCs w:val="22"/>
                <w:lang w:val="en-US" w:eastAsia="zh-CN" w:bidi="ar"/>
              </w:rPr>
              <w:t>》第二十</w:t>
            </w:r>
            <w:r>
              <w:rPr>
                <w:rFonts w:hint="eastAsia" w:ascii="Times New Roman" w:hAnsi="Times New Roman" w:eastAsia="宋体" w:cs="Times New Roman"/>
                <w:color w:val="auto"/>
                <w:kern w:val="0"/>
                <w:sz w:val="22"/>
                <w:szCs w:val="22"/>
                <w:lang w:val="en-US" w:eastAsia="zh-CN" w:bidi="ar"/>
              </w:rPr>
              <w:t>一</w:t>
            </w:r>
            <w:r>
              <w:rPr>
                <w:rFonts w:hint="default" w:ascii="Times New Roman" w:hAnsi="Times New Roman" w:eastAsia="宋体" w:cs="Times New Roman"/>
                <w:color w:val="auto"/>
                <w:kern w:val="0"/>
                <w:sz w:val="22"/>
                <w:szCs w:val="22"/>
                <w:lang w:val="en-US" w:eastAsia="zh-CN" w:bidi="ar"/>
              </w:rPr>
              <w:t>条规定：</w:t>
            </w:r>
            <w:r>
              <w:rPr>
                <w:rFonts w:hint="eastAsia" w:ascii="Times New Roman" w:hAnsi="Times New Roman" w:eastAsia="宋体" w:cs="Times New Roman"/>
                <w:color w:val="auto"/>
                <w:kern w:val="0"/>
                <w:sz w:val="22"/>
                <w:szCs w:val="22"/>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对风险进行分级</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企业未落实重大、较大风险的管控措施</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10.5</w:t>
            </w:r>
            <w:r>
              <w:rPr>
                <w:rFonts w:hint="eastAsia" w:ascii="Times New Roman" w:hAnsi="Times New Roman" w:eastAsia="宋体" w:cs="Times New Roman"/>
                <w:color w:val="auto"/>
                <w:kern w:val="0"/>
                <w:sz w:val="22"/>
                <w:szCs w:val="22"/>
                <w:highlight w:val="none"/>
                <w:lang w:val="en-US" w:eastAsia="zh-CN" w:bidi="ar"/>
              </w:rPr>
              <w:t>风险</w:t>
            </w:r>
            <w:r>
              <w:rPr>
                <w:rFonts w:hint="default" w:ascii="Times New Roman" w:hAnsi="Times New Roman" w:eastAsia="宋体" w:cs="Times New Roman"/>
                <w:color w:val="auto"/>
                <w:kern w:val="0"/>
                <w:sz w:val="22"/>
                <w:szCs w:val="22"/>
                <w:highlight w:val="none"/>
                <w:lang w:val="en-US" w:eastAsia="zh-CN" w:bidi="ar"/>
              </w:rPr>
              <w:t xml:space="preserve">预警 </w:t>
            </w:r>
            <w:r>
              <w:rPr>
                <w:rFonts w:hint="eastAsia" w:ascii="Times New Roman" w:hAnsi="Times New Roman" w:eastAsia="宋体" w:cs="Times New Roman"/>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10分</w:t>
            </w:r>
            <w:r>
              <w:rPr>
                <w:rFonts w:hint="eastAsia" w:ascii="Times New Roman" w:hAnsi="Times New Roman" w:eastAsia="宋体" w:cs="Times New Roman"/>
                <w:color w:val="auto"/>
                <w:kern w:val="0"/>
                <w:sz w:val="22"/>
                <w:szCs w:val="22"/>
                <w:highlight w:val="none"/>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企业应根据生产经营状况、安全风险管理及隐患排查</w:t>
            </w:r>
            <w:r>
              <w:rPr>
                <w:rFonts w:hint="eastAsia" w:ascii="Times New Roman" w:hAnsi="Times New Roman" w:eastAsia="宋体" w:cs="Times New Roman"/>
                <w:color w:val="auto"/>
                <w:kern w:val="0"/>
                <w:sz w:val="22"/>
                <w:szCs w:val="22"/>
                <w:lang w:val="en-US" w:eastAsia="zh-CN" w:bidi="ar"/>
              </w:rPr>
              <w:t>数据库</w:t>
            </w:r>
            <w:r>
              <w:rPr>
                <w:rFonts w:hint="default" w:ascii="Times New Roman" w:hAnsi="Times New Roman" w:eastAsia="宋体" w:cs="Times New Roman"/>
                <w:color w:val="auto"/>
                <w:kern w:val="0"/>
                <w:sz w:val="22"/>
                <w:szCs w:val="22"/>
                <w:lang w:val="en-US" w:eastAsia="zh-CN" w:bidi="ar"/>
              </w:rPr>
              <w:t>、事故等情况，</w:t>
            </w:r>
            <w:r>
              <w:rPr>
                <w:rFonts w:hint="eastAsia" w:ascii="Times New Roman" w:hAnsi="Times New Roman" w:eastAsia="宋体" w:cs="Times New Roman"/>
                <w:color w:val="auto"/>
                <w:kern w:val="0"/>
                <w:sz w:val="22"/>
                <w:szCs w:val="22"/>
                <w:lang w:val="en-US" w:eastAsia="zh-CN" w:bidi="ar"/>
              </w:rPr>
              <w:t>通过信息化手段</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建立安全风险预警机制</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预警是通过安全风险管理及隐患排查治理，查找导致危险前兆的根源，控制危险事态的进一步发展或将危险事件扼杀于萌芽状态，以减少危机的发生或降低危机危害程度的过程。预测预警的目的是当风险因素达到预警条件的，企业应及时发出预警信息，并立即采取针对性措施，防范安全生产事故发生；减少危机的发生或降低危机的破坏程度，实现企业的持续经营。</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top"/>
          </w:tcPr>
          <w:p>
            <w:pPr>
              <w:ind w:firstLine="210" w:firstLineChars="100"/>
              <w:rPr>
                <w:rFonts w:ascii="宋体" w:hAnsi="宋体" w:eastAsia="宋体" w:cs="Calibri"/>
                <w:color w:val="000000"/>
                <w:kern w:val="0"/>
                <w:szCs w:val="21"/>
                <w:highlight w:val="none"/>
              </w:rPr>
            </w:pPr>
            <w:r>
              <w:rPr>
                <w:rFonts w:hint="eastAsia" w:ascii="宋体" w:hAnsi="宋体" w:eastAsia="宋体" w:cs="Calibri"/>
                <w:color w:val="000000"/>
                <w:kern w:val="0"/>
                <w:szCs w:val="21"/>
                <w:highlight w:val="none"/>
              </w:rPr>
              <w:t>1.</w:t>
            </w:r>
            <w:r>
              <w:rPr>
                <w:rFonts w:hint="eastAsia" w:ascii="宋体" w:hAnsi="宋体" w:eastAsia="宋体" w:cs="Calibri"/>
                <w:color w:val="000000"/>
                <w:kern w:val="0"/>
                <w:szCs w:val="21"/>
                <w:highlight w:val="none"/>
                <w:lang w:val="en-US" w:eastAsia="zh-CN"/>
              </w:rPr>
              <w:t>未通过信息化手段建立风险预警机制</w:t>
            </w:r>
            <w:r>
              <w:rPr>
                <w:rFonts w:hint="eastAsia" w:ascii="宋体" w:hAnsi="宋体" w:eastAsia="宋体" w:cs="Calibri"/>
                <w:color w:val="000000"/>
                <w:kern w:val="0"/>
                <w:szCs w:val="21"/>
                <w:highlight w:val="none"/>
              </w:rPr>
              <w:t>，不</w:t>
            </w:r>
            <w:r>
              <w:rPr>
                <w:rFonts w:hint="eastAsia" w:ascii="宋体" w:hAnsi="宋体" w:eastAsia="宋体" w:cs="Calibri"/>
                <w:color w:val="000000"/>
                <w:kern w:val="0"/>
                <w:szCs w:val="21"/>
                <w:highlight w:val="none"/>
                <w:lang w:val="en-US" w:eastAsia="zh-CN"/>
              </w:rPr>
              <w:t>符合</w:t>
            </w:r>
            <w:r>
              <w:rPr>
                <w:rFonts w:hint="eastAsia" w:ascii="宋体" w:hAnsi="宋体" w:eastAsia="宋体" w:cs="Calibri"/>
                <w:color w:val="000000"/>
                <w:kern w:val="0"/>
                <w:szCs w:val="21"/>
                <w:highlight w:val="none"/>
              </w:rPr>
              <w:t>；</w:t>
            </w:r>
          </w:p>
          <w:p>
            <w:pPr>
              <w:ind w:firstLine="210" w:firstLineChars="100"/>
              <w:rPr>
                <w:rFonts w:hint="default" w:ascii="宋体" w:hAnsi="宋体" w:eastAsia="宋体" w:cs="Calibri"/>
                <w:color w:val="000000"/>
                <w:kern w:val="0"/>
                <w:sz w:val="21"/>
                <w:szCs w:val="21"/>
                <w:highlight w:val="none"/>
                <w:lang w:val="en-US" w:eastAsia="zh-CN" w:bidi="ar-SA"/>
              </w:rPr>
            </w:pPr>
            <w:r>
              <w:rPr>
                <w:rFonts w:hint="eastAsia" w:ascii="宋体" w:hAnsi="宋体" w:eastAsia="宋体" w:cs="Calibri"/>
                <w:color w:val="000000"/>
                <w:kern w:val="0"/>
                <w:szCs w:val="21"/>
                <w:highlight w:val="none"/>
              </w:rPr>
              <w:t>2.</w:t>
            </w:r>
            <w:r>
              <w:rPr>
                <w:rFonts w:hint="eastAsia" w:ascii="宋体" w:hAnsi="宋体" w:eastAsia="宋体" w:cs="Calibri"/>
                <w:color w:val="000000"/>
                <w:kern w:val="0"/>
                <w:szCs w:val="21"/>
                <w:highlight w:val="none"/>
                <w:lang w:val="en-US" w:eastAsia="zh-CN"/>
              </w:rPr>
              <w:t>预警后未采取相应的措施，不符合</w:t>
            </w:r>
            <w:r>
              <w:rPr>
                <w:rFonts w:hint="eastAsia" w:ascii="宋体" w:hAnsi="宋体" w:eastAsia="宋体" w:cs="Calibri"/>
                <w:color w:val="000000"/>
                <w:kern w:val="0"/>
                <w:szCs w:val="21"/>
                <w:highlight w:val="none"/>
              </w:rPr>
              <w:t>；</w:t>
            </w:r>
          </w:p>
        </w:tc>
        <w:tc>
          <w:tcPr>
            <w:tcW w:w="1392" w:type="dxa"/>
            <w:tcBorders>
              <w:tl2br w:val="nil"/>
              <w:tr2bl w:val="nil"/>
            </w:tcBorders>
            <w:shd w:val="clear" w:color="auto" w:fill="auto"/>
            <w:tcMar>
              <w:top w:w="75" w:type="dxa"/>
              <w:left w:w="90" w:type="dxa"/>
              <w:bottom w:w="75" w:type="dxa"/>
              <w:right w:w="90" w:type="dxa"/>
            </w:tcMar>
            <w:vAlign w:val="top"/>
          </w:tcPr>
          <w:p>
            <w:pPr>
              <w:ind w:firstLine="210" w:firstLineChars="100"/>
              <w:rPr>
                <w:rFonts w:hint="eastAsia" w:ascii="宋体" w:hAnsi="宋体" w:eastAsia="宋体" w:cs="Calibri"/>
                <w:color w:val="000000"/>
                <w:kern w:val="0"/>
                <w:szCs w:val="21"/>
                <w:highlight w:val="none"/>
              </w:rPr>
            </w:pPr>
          </w:p>
        </w:tc>
        <w:tc>
          <w:tcPr>
            <w:tcW w:w="1231" w:type="dxa"/>
            <w:tcBorders>
              <w:tl2br w:val="nil"/>
              <w:tr2bl w:val="nil"/>
            </w:tcBorders>
            <w:shd w:val="clear" w:color="auto" w:fill="auto"/>
            <w:tcMar>
              <w:top w:w="75" w:type="dxa"/>
              <w:left w:w="90" w:type="dxa"/>
              <w:bottom w:w="75" w:type="dxa"/>
              <w:right w:w="90" w:type="dxa"/>
            </w:tcMar>
            <w:vAlign w:val="top"/>
          </w:tcPr>
          <w:p>
            <w:pPr>
              <w:ind w:firstLine="210" w:firstLineChars="100"/>
              <w:rPr>
                <w:rFonts w:hint="eastAsia" w:ascii="宋体" w:hAnsi="宋体" w:eastAsia="宋体" w:cs="Calibri"/>
                <w:color w:val="000000"/>
                <w:kern w:val="0"/>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rPr>
          <w:trHeight w:val="1862" w:hRule="atLeast"/>
        </w:trPr>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十一、</w:t>
            </w:r>
            <w:r>
              <w:rPr>
                <w:rFonts w:hint="default" w:ascii="Times New Roman" w:hAnsi="Times New Roman" w:eastAsia="宋体" w:cs="Times New Roman"/>
                <w:color w:val="auto"/>
                <w:kern w:val="0"/>
                <w:sz w:val="22"/>
                <w:szCs w:val="22"/>
                <w:lang w:val="en-US" w:eastAsia="zh-CN" w:bidi="ar"/>
              </w:rPr>
              <w:t xml:space="preserve"> 隐患排查与治理 </w:t>
            </w:r>
            <w:r>
              <w:rPr>
                <w:rFonts w:hint="eastAsia" w:ascii="Times New Roman" w:hAnsi="Times New Roman" w:eastAsia="宋体" w:cs="Times New Roman"/>
                <w:color w:val="auto"/>
                <w:kern w:val="0"/>
                <w:sz w:val="22"/>
                <w:szCs w:val="22"/>
                <w:lang w:val="en-US" w:eastAsia="zh-CN" w:bidi="ar"/>
              </w:rPr>
              <w:t>65</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11.1 隐患排查</w:t>
            </w:r>
            <w:r>
              <w:rPr>
                <w:rFonts w:hint="eastAsia" w:ascii="Times New Roman" w:hAnsi="Times New Roman" w:eastAsia="宋体" w:cs="Times New Roman"/>
                <w:color w:val="auto"/>
                <w:kern w:val="0"/>
                <w:sz w:val="22"/>
                <w:szCs w:val="22"/>
                <w:lang w:val="en-US" w:eastAsia="zh-CN" w:bidi="ar"/>
              </w:rPr>
              <w:t>（50）</w:t>
            </w:r>
            <w:r>
              <w:rPr>
                <w:rFonts w:hint="default" w:ascii="Times New Roman" w:hAnsi="Times New Roman" w:eastAsia="宋体" w:cs="Times New Roman"/>
                <w:color w:val="auto"/>
                <w:kern w:val="0"/>
                <w:sz w:val="22"/>
                <w:szCs w:val="22"/>
                <w:lang w:val="en-US" w:eastAsia="zh-CN" w:bidi="ar"/>
              </w:rPr>
              <w:t>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企业应落实隐患排查治理和防控责任制，组织事故隐患排查治理工作，实行从隐患排查、记录、监控、治理、销账到报告的闭环管理</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企业应制定隐患排查治理制度；</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企业应明确隐患排查治理的责任部门和人员；</w:t>
            </w:r>
          </w:p>
          <w:p>
            <w:pPr>
              <w:keepNext w:val="0"/>
              <w:keepLines w:val="0"/>
              <w:pageBreakBefore w:val="0"/>
              <w:widowControl/>
              <w:numPr>
                <w:ilvl w:val="0"/>
                <w:numId w:val="1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制度应明确安全隐患排查、记录、监控、治理、销账和报告等闭环要求</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default"/>
                <w:lang w:val="en-US" w:eastAsia="zh-CN"/>
              </w:rPr>
              <w:fldChar w:fldCharType="begin"/>
            </w:r>
            <w:r>
              <w:rPr>
                <w:rFonts w:hint="default"/>
                <w:lang w:val="en-US" w:eastAsia="zh-CN"/>
              </w:rPr>
              <w:instrText xml:space="preserve"> = 2 \* GB3 \* MERGEFORMAT </w:instrText>
            </w:r>
            <w:r>
              <w:rPr>
                <w:rFonts w:hint="default"/>
                <w:lang w:val="en-US" w:eastAsia="zh-CN"/>
              </w:rPr>
              <w:fldChar w:fldCharType="separate"/>
            </w:r>
            <w:r>
              <w:rPr>
                <w:rFonts w:hint="default"/>
                <w:lang w:val="en-US" w:eastAsia="zh-CN"/>
              </w:rPr>
              <w:t>②</w:t>
            </w:r>
            <w:r>
              <w:rPr>
                <w:rFonts w:hint="default"/>
                <w:lang w:val="en-US" w:eastAsia="zh-CN"/>
              </w:rPr>
              <w:fldChar w:fldCharType="end"/>
            </w:r>
            <w:r>
              <w:rPr>
                <w:rFonts w:hint="default"/>
                <w:lang w:val="en-US" w:eastAsia="zh-CN"/>
              </w:rPr>
              <w:t>企业应依据有关法律法规、标准规范等，组织制定各部门、岗位、场所、设备设施的隐患排查治理标准或排查清单，明确隐患排查的时限、范围、内容和要求，并组织开展相应的培训。</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lang w:val="en-US" w:eastAsia="zh-CN"/>
              </w:rPr>
            </w:pPr>
            <w:r>
              <w:rPr>
                <w:rFonts w:hint="default"/>
                <w:b/>
                <w:bCs/>
                <w:lang w:val="en-US" w:eastAsia="zh-CN"/>
              </w:rPr>
              <w:t>隐患排查的范围</w:t>
            </w:r>
            <w:r>
              <w:rPr>
                <w:rFonts w:hint="default"/>
                <w:lang w:val="en-US" w:eastAsia="zh-CN"/>
              </w:rPr>
              <w:t>应包括所有与生产经营相关的场所、人员、</w:t>
            </w:r>
            <w:r>
              <w:rPr>
                <w:rFonts w:hint="eastAsia"/>
                <w:lang w:val="en-US" w:eastAsia="zh-CN"/>
              </w:rPr>
              <w:t>车辆、停车场、作业</w:t>
            </w:r>
            <w:r>
              <w:rPr>
                <w:rFonts w:hint="default"/>
                <w:lang w:val="en-US" w:eastAsia="zh-CN"/>
              </w:rPr>
              <w:t>活动</w:t>
            </w:r>
            <w:r>
              <w:rPr>
                <w:rFonts w:hint="eastAsia"/>
                <w:lang w:val="en-US" w:eastAsia="zh-CN"/>
              </w:rPr>
              <w:t>和安全管理</w:t>
            </w:r>
            <w:r>
              <w:rPr>
                <w:rFonts w:hint="default"/>
                <w:lang w:val="en-US" w:eastAsia="zh-CN"/>
              </w:rPr>
              <w:t>，包括承包商和供应商等相关服务范围</w:t>
            </w:r>
            <w:r>
              <w:rPr>
                <w:rFonts w:hint="eastAsia"/>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eastAsia="仿宋_GB2312"/>
                <w:lang w:val="en-US" w:eastAsia="zh-CN"/>
              </w:rPr>
            </w:pPr>
            <w:r>
              <w:rPr>
                <w:rFonts w:hint="eastAsia" w:asciiTheme="minorHAnsi" w:hAnsiTheme="minorHAnsi" w:eastAsiaTheme="minorEastAsia" w:cstheme="minorBidi"/>
                <w:b/>
                <w:bCs/>
                <w:kern w:val="2"/>
                <w:sz w:val="21"/>
                <w:szCs w:val="24"/>
                <w:lang w:val="en-US" w:eastAsia="zh-CN" w:bidi="ar-SA"/>
              </w:rPr>
              <w:t>隐患排查</w:t>
            </w:r>
            <w:r>
              <w:rPr>
                <w:rFonts w:hint="eastAsia" w:cstheme="minorBidi"/>
                <w:kern w:val="2"/>
                <w:sz w:val="21"/>
                <w:szCs w:val="24"/>
                <w:lang w:val="en-US" w:eastAsia="zh-CN" w:bidi="ar-SA"/>
              </w:rPr>
              <w:t>应包含</w:t>
            </w:r>
            <w:r>
              <w:rPr>
                <w:rFonts w:hint="eastAsia" w:asciiTheme="minorHAnsi" w:hAnsiTheme="minorHAnsi" w:eastAsiaTheme="minorEastAsia" w:cstheme="minorBidi"/>
                <w:kern w:val="2"/>
                <w:sz w:val="21"/>
                <w:szCs w:val="24"/>
                <w:lang w:val="en-US" w:eastAsia="zh-CN" w:bidi="ar-SA"/>
              </w:rPr>
              <w:t>：人的不安全行为（</w:t>
            </w:r>
            <w:r>
              <w:rPr>
                <w:rFonts w:hint="eastAsia" w:cstheme="minorBidi"/>
                <w:kern w:val="2"/>
                <w:sz w:val="21"/>
                <w:szCs w:val="24"/>
                <w:lang w:val="en-US" w:eastAsia="zh-CN" w:bidi="ar-SA"/>
              </w:rPr>
              <w:t>各岗位</w:t>
            </w:r>
            <w:r>
              <w:rPr>
                <w:rFonts w:hint="eastAsia" w:asciiTheme="minorHAnsi" w:hAnsiTheme="minorHAnsi" w:eastAsiaTheme="minorEastAsia" w:cstheme="minorBidi"/>
                <w:kern w:val="2"/>
                <w:sz w:val="21"/>
                <w:szCs w:val="24"/>
                <w:lang w:val="en-US" w:eastAsia="zh-CN" w:bidi="ar-SA"/>
              </w:rPr>
              <w:t>人员操作是否违规</w:t>
            </w:r>
            <w:r>
              <w:rPr>
                <w:rFonts w:hint="eastAsia" w:cstheme="minorBidi"/>
                <w:kern w:val="2"/>
                <w:sz w:val="21"/>
                <w:szCs w:val="24"/>
                <w:lang w:val="en-US" w:eastAsia="zh-CN" w:bidi="ar-SA"/>
              </w:rPr>
              <w:t>、</w:t>
            </w:r>
            <w:r>
              <w:rPr>
                <w:rFonts w:hint="eastAsia" w:asciiTheme="minorHAnsi" w:hAnsiTheme="minorHAnsi" w:eastAsiaTheme="minorEastAsia" w:cstheme="minorBidi"/>
                <w:kern w:val="2"/>
                <w:sz w:val="21"/>
                <w:szCs w:val="24"/>
                <w:lang w:val="en-US" w:eastAsia="zh-CN" w:bidi="ar-SA"/>
              </w:rPr>
              <w:t>违章）、</w:t>
            </w:r>
            <w:r>
              <w:rPr>
                <w:rFonts w:hint="eastAsia" w:cstheme="minorBidi"/>
                <w:kern w:val="2"/>
                <w:sz w:val="21"/>
                <w:szCs w:val="24"/>
                <w:lang w:val="en-US" w:eastAsia="zh-CN" w:bidi="ar-SA"/>
              </w:rPr>
              <w:t>设备设施</w:t>
            </w:r>
            <w:r>
              <w:rPr>
                <w:rFonts w:hint="eastAsia" w:asciiTheme="minorHAnsi" w:hAnsiTheme="minorHAnsi" w:eastAsiaTheme="minorEastAsia" w:cstheme="minorBidi"/>
                <w:kern w:val="2"/>
                <w:sz w:val="21"/>
                <w:szCs w:val="24"/>
                <w:lang w:val="en-US" w:eastAsia="zh-CN" w:bidi="ar-SA"/>
              </w:rPr>
              <w:t>安全状态（车辆</w:t>
            </w:r>
            <w:r>
              <w:rPr>
                <w:rFonts w:hint="eastAsia" w:cstheme="minorBidi"/>
                <w:kern w:val="2"/>
                <w:sz w:val="21"/>
                <w:szCs w:val="24"/>
                <w:lang w:val="en-US" w:eastAsia="zh-CN" w:bidi="ar-SA"/>
              </w:rPr>
              <w:t>、监控设施、安全设施</w:t>
            </w:r>
            <w:r>
              <w:rPr>
                <w:rFonts w:hint="eastAsia" w:asciiTheme="minorHAnsi" w:hAnsiTheme="minorHAnsi" w:eastAsiaTheme="minorEastAsia" w:cstheme="minorBidi"/>
                <w:kern w:val="2"/>
                <w:sz w:val="21"/>
                <w:szCs w:val="24"/>
                <w:lang w:val="en-US" w:eastAsia="zh-CN" w:bidi="ar-SA"/>
              </w:rPr>
              <w:t>是否良好）、环境因素（道路安全状况、天气情况）</w:t>
            </w:r>
            <w:r>
              <w:rPr>
                <w:rFonts w:hint="eastAsia" w:cstheme="minorBidi"/>
                <w:kern w:val="2"/>
                <w:sz w:val="21"/>
                <w:szCs w:val="24"/>
                <w:lang w:val="en-US" w:eastAsia="zh-CN" w:bidi="ar-SA"/>
              </w:rPr>
              <w:t>、经营场所（办公区域、停车场的安全和消防情况）</w:t>
            </w:r>
            <w:r>
              <w:rPr>
                <w:rFonts w:hint="eastAsia" w:asciiTheme="minorHAnsi" w:hAnsiTheme="minorHAnsi" w:eastAsiaTheme="minorEastAsia" w:cstheme="minorBidi"/>
                <w:kern w:val="2"/>
                <w:sz w:val="21"/>
                <w:szCs w:val="24"/>
                <w:lang w:val="en-US" w:eastAsia="zh-CN" w:bidi="ar-SA"/>
              </w:rPr>
              <w:t>及安全管理因素</w:t>
            </w:r>
            <w:r>
              <w:rPr>
                <w:rFonts w:hint="eastAsia" w:cstheme="minorBidi"/>
                <w:kern w:val="2"/>
                <w:sz w:val="21"/>
                <w:szCs w:val="24"/>
                <w:lang w:val="en-US" w:eastAsia="zh-CN" w:bidi="ar-SA"/>
              </w:rPr>
              <w:t>。</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依据《安全生产事故隐患排查治理暂行规定》(国家安全生产监督管理总局令第16号)</w:t>
            </w:r>
            <w:r>
              <w:rPr>
                <w:rFonts w:hint="eastAsia" w:ascii="Times New Roman" w:hAnsi="Times New Roman" w:eastAsia="宋体" w:cs="Times New Roman"/>
                <w:color w:val="auto"/>
                <w:kern w:val="0"/>
                <w:sz w:val="22"/>
                <w:szCs w:val="22"/>
                <w:lang w:val="en-US" w:eastAsia="zh-Hans" w:bidi="ar"/>
              </w:rPr>
              <w:t>要求</w:t>
            </w:r>
            <w:r>
              <w:rPr>
                <w:rFonts w:hint="eastAsia" w:ascii="Times New Roman" w:hAnsi="Times New Roman" w:eastAsia="宋体" w:cs="Times New Roman"/>
                <w:color w:val="auto"/>
                <w:kern w:val="0"/>
                <w:sz w:val="22"/>
                <w:szCs w:val="22"/>
                <w:lang w:val="en-US" w:eastAsia="zh-CN"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strike w:val="0"/>
                <w:dstrike w:val="0"/>
                <w:color w:val="auto"/>
                <w:kern w:val="0"/>
                <w:sz w:val="22"/>
                <w:szCs w:val="22"/>
                <w:lang w:val="en-US" w:eastAsia="zh-CN" w:bidi="ar"/>
              </w:rPr>
              <w:t>未</w:t>
            </w:r>
            <w:r>
              <w:rPr>
                <w:rFonts w:hint="default" w:ascii="Times New Roman" w:hAnsi="Times New Roman" w:eastAsia="宋体" w:cs="Times New Roman"/>
                <w:color w:val="auto"/>
                <w:kern w:val="0"/>
                <w:sz w:val="22"/>
                <w:szCs w:val="22"/>
                <w:lang w:val="en-US" w:eastAsia="zh-CN" w:bidi="ar"/>
              </w:rPr>
              <w:t>制定隐患排查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未明确</w:t>
            </w:r>
            <w:r>
              <w:rPr>
                <w:rFonts w:hint="default" w:ascii="Times New Roman" w:hAnsi="Times New Roman" w:eastAsia="宋体" w:cs="Times New Roman"/>
                <w:color w:val="auto"/>
                <w:kern w:val="0"/>
                <w:sz w:val="22"/>
                <w:szCs w:val="22"/>
                <w:lang w:val="en-US" w:eastAsia="zh-CN" w:bidi="ar"/>
              </w:rPr>
              <w:t>隐患排查的时限、范围、内容和要求</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隐患排查的范围未包括所有与生产经营相关的</w:t>
            </w:r>
            <w:r>
              <w:rPr>
                <w:rFonts w:hint="default" w:ascii="Times New Roman" w:hAnsi="Times New Roman" w:eastAsia="宋体" w:cs="Times New Roman"/>
                <w:color w:val="auto"/>
                <w:kern w:val="0"/>
                <w:sz w:val="22"/>
                <w:szCs w:val="22"/>
                <w:highlight w:val="none"/>
                <w:lang w:val="en-US" w:eastAsia="zh-CN" w:bidi="ar"/>
              </w:rPr>
              <w:t>场所、</w:t>
            </w:r>
            <w:r>
              <w:rPr>
                <w:rFonts w:hint="eastAsia" w:ascii="Times New Roman" w:hAnsi="Times New Roman" w:eastAsia="宋体" w:cs="Times New Roman"/>
                <w:color w:val="auto"/>
                <w:kern w:val="0"/>
                <w:sz w:val="22"/>
                <w:szCs w:val="22"/>
                <w:highlight w:val="none"/>
                <w:lang w:val="en-US" w:eastAsia="zh-CN" w:bidi="ar"/>
              </w:rPr>
              <w:t>管理</w:t>
            </w:r>
            <w:r>
              <w:rPr>
                <w:rFonts w:hint="default" w:ascii="Times New Roman" w:hAnsi="Times New Roman" w:eastAsia="宋体" w:cs="Times New Roman"/>
                <w:color w:val="auto"/>
                <w:kern w:val="0"/>
                <w:sz w:val="22"/>
                <w:szCs w:val="22"/>
                <w:highlight w:val="none"/>
                <w:lang w:val="en-US" w:eastAsia="zh-CN" w:bidi="ar"/>
              </w:rPr>
              <w:t>、人员、设备设施</w:t>
            </w:r>
            <w:r>
              <w:rPr>
                <w:rFonts w:hint="default" w:ascii="Times New Roman" w:hAnsi="Times New Roman" w:eastAsia="宋体" w:cs="Times New Roman"/>
                <w:color w:val="auto"/>
                <w:kern w:val="0"/>
                <w:sz w:val="22"/>
                <w:szCs w:val="22"/>
                <w:lang w:val="en-US" w:eastAsia="zh-CN" w:bidi="ar"/>
              </w:rPr>
              <w:t>和活动，</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生产经营单位应当</w:t>
            </w:r>
            <w:r>
              <w:rPr>
                <w:rFonts w:hint="eastAsia" w:ascii="Times New Roman" w:hAnsi="Times New Roman" w:eastAsia="宋体" w:cs="Times New Roman"/>
                <w:color w:val="auto"/>
                <w:kern w:val="0"/>
                <w:sz w:val="22"/>
                <w:szCs w:val="22"/>
                <w:lang w:val="en-US" w:eastAsia="zh-CN" w:bidi="ar"/>
              </w:rPr>
              <w:t>按照隐患排查计划开展</w:t>
            </w:r>
            <w:r>
              <w:rPr>
                <w:rFonts w:hint="default" w:ascii="Times New Roman" w:hAnsi="Times New Roman" w:eastAsia="宋体" w:cs="Times New Roman"/>
                <w:color w:val="auto"/>
                <w:kern w:val="0"/>
                <w:sz w:val="22"/>
                <w:szCs w:val="22"/>
                <w:lang w:val="en-US" w:eastAsia="zh-CN" w:bidi="ar"/>
              </w:rPr>
              <w:t>事故隐患</w:t>
            </w:r>
            <w:r>
              <w:rPr>
                <w:rFonts w:hint="eastAsia" w:ascii="Times New Roman" w:hAnsi="Times New Roman" w:eastAsia="宋体" w:cs="Times New Roman"/>
                <w:color w:val="auto"/>
                <w:kern w:val="0"/>
                <w:sz w:val="22"/>
                <w:szCs w:val="22"/>
                <w:lang w:val="en-US" w:eastAsia="zh-CN" w:bidi="ar"/>
              </w:rPr>
              <w:t>排查，</w:t>
            </w:r>
            <w:r>
              <w:rPr>
                <w:rFonts w:hint="default" w:ascii="Times New Roman" w:hAnsi="Times New Roman" w:eastAsia="宋体" w:cs="Times New Roman"/>
                <w:color w:val="auto"/>
                <w:kern w:val="0"/>
                <w:sz w:val="22"/>
                <w:szCs w:val="22"/>
                <w:lang w:val="en-US" w:eastAsia="zh-CN" w:bidi="ar"/>
              </w:rPr>
              <w:t>并根据政府及有关管理部门安全工作的专项部署、季节性变化或安全生产条件变化情况进行专项排查</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按照</w:t>
            </w:r>
            <w:r>
              <w:rPr>
                <w:rFonts w:hint="default" w:ascii="Times New Roman" w:hAnsi="Times New Roman" w:eastAsia="宋体" w:cs="Times New Roman"/>
                <w:color w:val="auto"/>
                <w:kern w:val="0"/>
                <w:sz w:val="22"/>
                <w:szCs w:val="22"/>
                <w:lang w:val="en-US" w:eastAsia="zh-CN" w:bidi="ar"/>
              </w:rPr>
              <w:t>隐患排查</w:t>
            </w:r>
            <w:r>
              <w:rPr>
                <w:rFonts w:hint="eastAsia" w:ascii="Times New Roman" w:hAnsi="Times New Roman" w:eastAsia="宋体" w:cs="Times New Roman"/>
                <w:color w:val="auto"/>
                <w:kern w:val="0"/>
                <w:sz w:val="22"/>
                <w:szCs w:val="22"/>
                <w:lang w:val="en-US" w:eastAsia="zh-CN" w:bidi="ar"/>
              </w:rPr>
              <w:t>计划</w:t>
            </w:r>
            <w:r>
              <w:rPr>
                <w:rFonts w:hint="default" w:ascii="Times New Roman" w:hAnsi="Times New Roman" w:eastAsia="宋体" w:cs="Times New Roman"/>
                <w:color w:val="auto"/>
                <w:kern w:val="0"/>
                <w:sz w:val="22"/>
                <w:szCs w:val="22"/>
                <w:lang w:val="en-US" w:eastAsia="zh-CN" w:bidi="ar"/>
              </w:rPr>
              <w:t>开展事故隐患</w:t>
            </w:r>
            <w:r>
              <w:rPr>
                <w:rFonts w:hint="eastAsia" w:ascii="Times New Roman" w:hAnsi="Times New Roman" w:eastAsia="宋体" w:cs="Times New Roman"/>
                <w:color w:val="auto"/>
                <w:kern w:val="0"/>
                <w:sz w:val="22"/>
                <w:szCs w:val="22"/>
                <w:lang w:val="en-US" w:eastAsia="zh-CN" w:bidi="ar"/>
              </w:rPr>
              <w:t>排查；不符合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4"/>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未根据政府及有关管理部门安全工作的专项部署、季节性变化或安全生产条件变化情况进行专项排查的记录，</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4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④</w:t>
            </w:r>
            <w:r>
              <w:rPr>
                <w:rFonts w:hint="default" w:ascii="Times New Roman" w:hAnsi="Times New Roman" w:eastAsia="宋体" w:cs="Times New Roman"/>
                <w:color w:val="auto"/>
                <w:kern w:val="0"/>
                <w:sz w:val="22"/>
                <w:szCs w:val="22"/>
                <w:lang w:val="en-US" w:eastAsia="zh-CN" w:bidi="ar"/>
              </w:rPr>
              <w:fldChar w:fldCharType="end"/>
            </w:r>
            <w:r>
              <w:rPr>
                <w:rFonts w:hint="eastAsia" w:ascii="Times New Roman" w:hAnsi="Times New Roman" w:eastAsia="宋体" w:cs="Times New Roman"/>
                <w:color w:val="auto"/>
                <w:kern w:val="0"/>
                <w:sz w:val="22"/>
                <w:szCs w:val="22"/>
                <w:lang w:val="en-US" w:eastAsia="zh-CN" w:bidi="ar"/>
              </w:rPr>
              <w:t>企业应通过PC系统或移动APP端对隐患进行排查，建立隐患排查数据库</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隐患排查时，排查人员、时间、地点和排查对象自动导入系统，建立隐患排查数据库，实现隐患排查信息化管理</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lang w:val="en-US" w:eastAsia="zh-CN" w:bidi="ar"/>
              </w:rPr>
              <w:t>1</w:t>
            </w:r>
            <w:r>
              <w:rPr>
                <w:rFonts w:hint="eastAsia" w:ascii="Times New Roman" w:hAnsi="Times New Roman" w:eastAsia="宋体" w:cs="Times New Roman"/>
                <w:color w:val="auto"/>
                <w:kern w:val="0"/>
                <w:sz w:val="22"/>
                <w:szCs w:val="22"/>
                <w:highlight w:val="none"/>
                <w:lang w:val="en-US" w:eastAsia="zh-CN" w:bidi="ar"/>
              </w:rPr>
              <w:t>.未通过PC系统或移动APP端对隐患进行排查，不符合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lang w:val="en-US" w:eastAsia="zh-CN"/>
              </w:rPr>
            </w:pPr>
            <w:r>
              <w:rPr>
                <w:rFonts w:hint="eastAsia" w:ascii="Times New Roman" w:hAnsi="Times New Roman" w:eastAsia="宋体" w:cs="Times New Roman"/>
                <w:color w:val="auto"/>
                <w:kern w:val="0"/>
                <w:sz w:val="22"/>
                <w:szCs w:val="22"/>
                <w:highlight w:val="none"/>
                <w:lang w:val="en-US" w:eastAsia="zh-CN" w:bidi="ar"/>
              </w:rPr>
              <w:t>2.排查记录无排查人员、时间、地点和排查对象，不符合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5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⑤</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w:t>
            </w:r>
            <w:r>
              <w:rPr>
                <w:rFonts w:hint="eastAsia" w:ascii="Times New Roman" w:hAnsi="Times New Roman" w:eastAsia="宋体" w:cs="Times New Roman"/>
                <w:color w:val="auto"/>
                <w:kern w:val="0"/>
                <w:sz w:val="22"/>
                <w:szCs w:val="22"/>
                <w:lang w:val="en-US" w:eastAsia="zh-CN" w:bidi="ar"/>
              </w:rPr>
              <w:t>应</w:t>
            </w:r>
            <w:r>
              <w:rPr>
                <w:rFonts w:hint="default" w:ascii="Times New Roman" w:hAnsi="Times New Roman" w:eastAsia="宋体" w:cs="Times New Roman"/>
                <w:color w:val="auto"/>
                <w:kern w:val="0"/>
                <w:sz w:val="22"/>
                <w:szCs w:val="22"/>
                <w:lang w:val="en-US" w:eastAsia="zh-CN" w:bidi="ar"/>
              </w:rPr>
              <w:t>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《安全生产法》第三十八条 生产经营单位应当建立健全生产安全事故隐患排查治理制度，采取技术、管理措施，及时发现并消除事故隐患</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default" w:ascii="Times New Roman" w:hAnsi="Times New Roman" w:eastAsia="宋体" w:cs="Times New Roman"/>
                <w:color w:val="auto"/>
                <w:kern w:val="0"/>
                <w:sz w:val="22"/>
                <w:szCs w:val="22"/>
                <w:highlight w:val="none"/>
                <w:lang w:val="en-US" w:eastAsia="zh-CN" w:bidi="ar"/>
              </w:rPr>
              <w:t>未确定事故隐患等级并进行登记，形成事故隐患清单，</w:t>
            </w:r>
            <w:r>
              <w:rPr>
                <w:rFonts w:hint="eastAsia" w:ascii="Times New Roman" w:hAnsi="Times New Roman" w:eastAsia="宋体" w:cs="Times New Roman"/>
                <w:color w:val="auto"/>
                <w:kern w:val="0"/>
                <w:sz w:val="22"/>
                <w:szCs w:val="22"/>
                <w:highlight w:val="none"/>
                <w:lang w:val="en-US" w:eastAsia="zh-CN" w:bidi="ar"/>
              </w:rPr>
              <w:t>不得分</w:t>
            </w:r>
            <w:r>
              <w:rPr>
                <w:rFonts w:hint="default" w:ascii="Times New Roman" w:hAnsi="Times New Roman" w:eastAsia="宋体" w:cs="Times New Roman"/>
                <w:color w:val="auto"/>
                <w:kern w:val="0"/>
                <w:sz w:val="22"/>
                <w:szCs w:val="22"/>
                <w:highlight w:val="none"/>
                <w:lang w:val="en-US" w:eastAsia="zh-CN" w:bidi="ar"/>
              </w:rPr>
              <w:t>；</w:t>
            </w:r>
            <w:r>
              <w:rPr>
                <w:rFonts w:hint="eastAsia" w:ascii="Times New Roman" w:hAnsi="Times New Roman" w:eastAsia="宋体" w:cs="Times New Roman"/>
                <w:color w:val="auto"/>
                <w:kern w:val="0"/>
                <w:sz w:val="22"/>
                <w:szCs w:val="22"/>
                <w:highlight w:val="none"/>
                <w:lang w:val="en-US" w:eastAsia="zh-CN" w:bidi="ar"/>
              </w:rPr>
              <w:t>一项未治理的扣2分；</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未明确隐患等级的，不得分；</w:t>
            </w:r>
          </w:p>
          <w:p>
            <w:pPr>
              <w:keepNext w:val="0"/>
              <w:keepLines w:val="0"/>
              <w:pageBreakBefore w:val="0"/>
              <w:widowControl/>
              <w:numPr>
                <w:ilvl w:val="0"/>
                <w:numId w:val="1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lang w:val="en-US"/>
              </w:rPr>
            </w:pPr>
            <w:r>
              <w:rPr>
                <w:rFonts w:hint="eastAsia" w:ascii="Times New Roman" w:hAnsi="Times New Roman" w:eastAsia="宋体" w:cs="Times New Roman"/>
                <w:color w:val="auto"/>
                <w:kern w:val="0"/>
                <w:sz w:val="22"/>
                <w:szCs w:val="22"/>
                <w:highlight w:val="none"/>
                <w:lang w:val="en-US" w:eastAsia="zh-CN" w:bidi="ar"/>
              </w:rPr>
              <w:t>发现</w:t>
            </w:r>
            <w:r>
              <w:rPr>
                <w:rFonts w:hint="default" w:ascii="Times New Roman" w:hAnsi="Times New Roman" w:eastAsia="宋体" w:cs="Times New Roman"/>
                <w:color w:val="auto"/>
                <w:kern w:val="0"/>
                <w:sz w:val="22"/>
                <w:szCs w:val="22"/>
                <w:highlight w:val="none"/>
                <w:lang w:val="en-US" w:eastAsia="zh-CN" w:bidi="ar"/>
              </w:rPr>
              <w:t>重大事故隐患</w:t>
            </w:r>
            <w:r>
              <w:rPr>
                <w:rFonts w:hint="eastAsia" w:ascii="Times New Roman" w:hAnsi="Times New Roman" w:eastAsia="宋体" w:cs="Times New Roman"/>
                <w:color w:val="auto"/>
                <w:kern w:val="0"/>
                <w:sz w:val="22"/>
                <w:szCs w:val="22"/>
                <w:highlight w:val="none"/>
                <w:lang w:val="en-US" w:eastAsia="zh-CN" w:bidi="ar"/>
              </w:rPr>
              <w:t>未</w:t>
            </w:r>
            <w:r>
              <w:rPr>
                <w:rFonts w:hint="default" w:ascii="Times New Roman" w:hAnsi="Times New Roman" w:eastAsia="宋体" w:cs="Times New Roman"/>
                <w:color w:val="auto"/>
                <w:kern w:val="0"/>
                <w:sz w:val="22"/>
                <w:szCs w:val="22"/>
                <w:highlight w:val="none"/>
                <w:lang w:val="en-US" w:eastAsia="zh-CN" w:bidi="ar"/>
              </w:rPr>
              <w:t>向属地负有安全生产监督管理职责的交通运输管理部门备案记录</w:t>
            </w:r>
            <w:r>
              <w:rPr>
                <w:rFonts w:hint="eastAsia" w:ascii="Times New Roman" w:hAnsi="Times New Roman" w:eastAsia="宋体" w:cs="Times New Roman"/>
                <w:color w:val="auto"/>
                <w:kern w:val="0"/>
                <w:sz w:val="22"/>
                <w:szCs w:val="22"/>
                <w:highlight w:val="none"/>
                <w:lang w:val="en-US" w:eastAsia="zh-CN" w:bidi="ar"/>
              </w:rPr>
              <w:t>，不符合</w:t>
            </w:r>
            <w:r>
              <w:rPr>
                <w:rFonts w:hint="default" w:ascii="Times New Roman" w:hAnsi="Times New Roman" w:eastAsia="宋体" w:cs="Times New Roman"/>
                <w:color w:val="auto"/>
                <w:kern w:val="0"/>
                <w:sz w:val="22"/>
                <w:szCs w:val="22"/>
                <w:highlight w:val="none"/>
                <w:lang w:val="en-US" w:eastAsia="zh-CN" w:bidi="ar"/>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11.2 隐患治理</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对于一般事故隐患，企业应按照职责分工立即组织整改，确保及时治理</w:t>
            </w:r>
            <w:r>
              <w:rPr>
                <w:rFonts w:hint="eastAsia" w:ascii="Times New Roman" w:hAnsi="Times New Roman" w:eastAsia="宋体" w:cs="Times New Roman"/>
                <w:color w:val="auto"/>
                <w:kern w:val="0"/>
                <w:sz w:val="22"/>
                <w:szCs w:val="22"/>
                <w:lang w:val="en-US" w:eastAsia="zh-CN" w:bidi="ar"/>
              </w:rPr>
              <w:t>，并验收合格。</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企业未保留相关文件资料及活动记录，</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未及时组织隐患治理或整改不到位，</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事故隐患排查治理暂行规定》(国家安全生产监督管理总局令第16号)企业应当按照国家有关规定将本单位重大危险源及有关安全措施、应急措施，报负有安全生产监督管理的部门和有关部门备案，落实“五到位”：落实整改措施、责任、资金、时限和预案</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未组织制定</w:t>
            </w:r>
            <w:r>
              <w:rPr>
                <w:rFonts w:hint="eastAsia" w:ascii="Times New Roman" w:hAnsi="Times New Roman" w:eastAsia="宋体" w:cs="Times New Roman"/>
                <w:color w:val="auto"/>
                <w:kern w:val="0"/>
                <w:sz w:val="22"/>
                <w:szCs w:val="22"/>
                <w:lang w:val="en-US" w:eastAsia="zh-CN" w:bidi="ar"/>
              </w:rPr>
              <w:t>重大隐患</w:t>
            </w:r>
            <w:r>
              <w:rPr>
                <w:rFonts w:hint="default" w:ascii="Times New Roman" w:hAnsi="Times New Roman" w:eastAsia="宋体" w:cs="Times New Roman"/>
                <w:color w:val="auto"/>
                <w:kern w:val="0"/>
                <w:sz w:val="22"/>
                <w:szCs w:val="22"/>
                <w:lang w:val="en-US" w:eastAsia="zh-CN" w:bidi="ar"/>
              </w:rPr>
              <w:t>专项治理方案，</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1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整改专项方案</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未按相关</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编制的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无“五到位”的记录和证据</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安全生产法》》第三十八条生产经营单位应当建立健全生产安全事故隐患排查治理制度，采取技术、管理措施，及时发现并消除事故隐患</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Hans" w:bidi="ar"/>
                <w14:textFill>
                  <w14:solidFill>
                    <w14:schemeClr w14:val="tx1"/>
                  </w14:solidFill>
                </w14:textFill>
              </w:rPr>
            </w:pP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不满足</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以</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下要求的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该项结论为“不符合”</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一般隐患整改完成后，生产经营单位应组织验收；</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应有整改验收结论记录；</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验收人应签字</w:t>
            </w:r>
            <w:r>
              <w:rPr>
                <w:rFonts w:hint="eastAsia" w:ascii="Times New Roman" w:hAnsi="Times New Roman" w:eastAsia="宋体" w:cs="Times New Roman"/>
                <w:color w:val="auto"/>
                <w:kern w:val="0"/>
                <w:sz w:val="22"/>
                <w:szCs w:val="22"/>
                <w:lang w:val="en-US" w:eastAsia="zh-CN" w:bidi="ar"/>
              </w:rPr>
              <w:t>或在系统中进行</w:t>
            </w:r>
            <w:r>
              <w:rPr>
                <w:rFonts w:hint="default" w:ascii="Times New Roman" w:hAnsi="Times New Roman" w:eastAsia="宋体" w:cs="Times New Roman"/>
                <w:color w:val="auto"/>
                <w:kern w:val="0"/>
                <w:sz w:val="22"/>
                <w:szCs w:val="22"/>
                <w:lang w:val="en-US" w:eastAsia="zh-CN" w:bidi="ar"/>
              </w:rPr>
              <w:t>确认；</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重大事故隐患整改验收通过的，企业应将验收结论向属地负有安全生产监督管理职责的交通运输管理部门报备资料；</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应有销号申请记录；</w:t>
            </w:r>
          </w:p>
          <w:p>
            <w:pPr>
              <w:keepNext w:val="0"/>
              <w:keepLines w:val="0"/>
              <w:pageBreakBefore w:val="0"/>
              <w:widowControl/>
              <w:numPr>
                <w:ilvl w:val="0"/>
                <w:numId w:val="1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报备申请材料应包括：重大隐患基本情况及整改方案；重大隐患整改过程；验收机构或验收组基本情况；验收报告及结论</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十二、</w:t>
            </w:r>
            <w:r>
              <w:rPr>
                <w:rFonts w:hint="default" w:ascii="Times New Roman" w:hAnsi="Times New Roman" w:eastAsia="宋体" w:cs="Times New Roman"/>
                <w:color w:val="auto"/>
                <w:kern w:val="0"/>
                <w:sz w:val="22"/>
                <w:szCs w:val="22"/>
                <w:lang w:val="en-US" w:eastAsia="zh-CN" w:bidi="ar"/>
              </w:rPr>
              <w:t xml:space="preserve"> 职业健康 </w:t>
            </w:r>
            <w:r>
              <w:rPr>
                <w:rFonts w:hint="eastAsia" w:ascii="Times New Roman" w:hAnsi="Times New Roman" w:eastAsia="宋体" w:cs="Times New Roman"/>
                <w:color w:val="auto"/>
                <w:kern w:val="0"/>
                <w:sz w:val="22"/>
                <w:szCs w:val="22"/>
                <w:lang w:val="en-US" w:eastAsia="zh-CN" w:bidi="ar"/>
              </w:rPr>
              <w:t>25</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12.1 职业健康管理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eastAsia" w:asciiTheme="minorEastAsia" w:hAnsiTheme="minorEastAsia" w:cstheme="minorEastAsia"/>
                <w:sz w:val="22"/>
                <w:szCs w:val="22"/>
                <w:shd w:val="clear" w:color="auto" w:fill="FFFFFF"/>
                <w:lang w:val="en-US" w:eastAsia="zh-CN"/>
              </w:rPr>
              <w:t>企业应</w:t>
            </w:r>
            <w:r>
              <w:rPr>
                <w:rFonts w:hint="eastAsia" w:asciiTheme="minorEastAsia" w:hAnsiTheme="minorEastAsia" w:eastAsiaTheme="minorEastAsia" w:cstheme="minorEastAsia"/>
                <w:sz w:val="22"/>
                <w:szCs w:val="22"/>
                <w:shd w:val="clear" w:color="auto" w:fill="FFFFFF"/>
              </w:rPr>
              <w:t>组织上岗前、在岗期间和离岗时的职业健康检查，并将检查结果书面告知劳动者。</w:t>
            </w:r>
            <w:r>
              <w:rPr>
                <w:rFonts w:hint="eastAsia" w:asciiTheme="minorEastAsia" w:hAnsiTheme="minorEastAsia" w:eastAsiaTheme="minorEastAsia" w:cstheme="minorEastAsia"/>
                <w:sz w:val="22"/>
                <w:szCs w:val="22"/>
              </w:rPr>
              <w:t>建立、健全企业职业卫生档案和从业人员健康监护档案</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对从事接触职业病危害的作业的劳动者，用人单位应当按照国务院安全生产监督管理部门、卫生行政部门的规定组织上岗前、在岗期间和离岗时的职业健康检查，并将检查结果书面告知劳动者。职业健康检查费用由用人单位承担</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2"/>
                <w:sz w:val="22"/>
                <w:szCs w:val="22"/>
                <w:lang w:val="en-US" w:eastAsia="zh-CN" w:bidi="ar-SA"/>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jc w:val="left"/>
              <w:rPr>
                <w:rFonts w:hint="eastAsia" w:asciiTheme="minorEastAsia" w:hAnsiTheme="minorEastAsia" w:cstheme="minorEastAsia"/>
                <w:sz w:val="22"/>
                <w:szCs w:val="22"/>
                <w:lang w:val="en-US" w:eastAsia="zh-CN"/>
              </w:rPr>
            </w:pPr>
            <w:r>
              <w:rPr>
                <w:rFonts w:hint="eastAsia" w:asciiTheme="minorEastAsia" w:hAnsiTheme="minorEastAsia" w:eastAsiaTheme="minorEastAsia" w:cstheme="minorEastAsia"/>
                <w:sz w:val="22"/>
                <w:szCs w:val="22"/>
              </w:rPr>
              <w:t>未经岗前职业健康检查人员上岗</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jc w:val="left"/>
              <w:rPr>
                <w:rFonts w:hint="default" w:ascii="Times New Roman" w:hAnsi="Times New Roman" w:cs="Times New Roman" w:eastAsiaTheme="minorEastAsia"/>
                <w:color w:val="auto"/>
                <w:kern w:val="2"/>
                <w:sz w:val="22"/>
                <w:szCs w:val="22"/>
                <w:lang w:val="en-US" w:eastAsia="zh-CN" w:bidi="ar-SA"/>
              </w:rPr>
            </w:pPr>
            <w:r>
              <w:rPr>
                <w:rFonts w:hint="eastAsia" w:asciiTheme="minorEastAsia" w:hAnsiTheme="minorEastAsia" w:eastAsiaTheme="minorEastAsia" w:cstheme="minorEastAsia"/>
                <w:sz w:val="22"/>
                <w:szCs w:val="22"/>
              </w:rPr>
              <w:t>存在职业病危害的岗位，未建立从业人员健康监护档案的</w:t>
            </w:r>
            <w:r>
              <w:rPr>
                <w:rFonts w:hint="eastAsia" w:asciiTheme="minorEastAsia" w:hAnsiTheme="minorEastAsia" w:cstheme="minorEastAsia"/>
                <w:sz w:val="22"/>
                <w:szCs w:val="22"/>
                <w:lang w:eastAsia="zh-CN"/>
              </w:rPr>
              <w:t>，</w:t>
            </w:r>
            <w:r>
              <w:rPr>
                <w:rFonts w:hint="eastAsia" w:asciiTheme="minorEastAsia" w:hAnsiTheme="minorEastAsia" w:cstheme="minorEastAsia"/>
                <w:sz w:val="22"/>
                <w:szCs w:val="22"/>
                <w:lang w:val="en-US" w:eastAsia="zh-CN"/>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19"/>
              </w:numPr>
              <w:suppressLineNumbers w:val="0"/>
              <w:kinsoku/>
              <w:wordWrap/>
              <w:overflowPunct/>
              <w:topLinePunct w:val="0"/>
              <w:autoSpaceDE/>
              <w:autoSpaceDN/>
              <w:bidi w:val="0"/>
              <w:adjustRightInd/>
              <w:snapToGrid/>
              <w:spacing w:line="280" w:lineRule="exact"/>
              <w:jc w:val="left"/>
              <w:rPr>
                <w:rFonts w:hint="eastAsia" w:asciiTheme="minorEastAsia" w:hAnsiTheme="minorEastAsia" w:eastAsiaTheme="minorEastAsia" w:cstheme="minorEastAsia"/>
                <w:sz w:val="22"/>
                <w:szCs w:val="22"/>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不得安排有职业禁忌的从业人员从事禁忌作业</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六条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有职业禁忌的从业人员从事禁忌作业，</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12.2 工伤保险</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5</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企业应当在生产经营所在地依法参加工伤保险，为本单位从业人员缴纳工伤保险费</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工伤保险是社会保险制度中的重要组成部分。是指国家和社会为在生产、工作中遭受事故伤害和患职业性疾病的劳动及亲属提供医疗救治、生活保障、经济补偿、医疗和职业康复等物质帮助的一种社会保障制度。《中华人民共和国职业病防治法》第七条规定：用人单位必须依法参加工伤保险</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w:t>
            </w:r>
            <w:r>
              <w:rPr>
                <w:rFonts w:hint="eastAsia" w:ascii="Times New Roman" w:hAnsi="Times New Roman" w:eastAsia="宋体" w:cs="Times New Roman"/>
                <w:color w:val="auto"/>
                <w:kern w:val="0"/>
                <w:sz w:val="22"/>
                <w:szCs w:val="22"/>
                <w:lang w:val="en-US" w:eastAsia="zh-CN" w:bidi="ar"/>
              </w:rPr>
              <w:t>对</w:t>
            </w:r>
            <w:r>
              <w:rPr>
                <w:rFonts w:hint="default" w:ascii="Times New Roman" w:hAnsi="Times New Roman" w:eastAsia="宋体" w:cs="Times New Roman"/>
                <w:color w:val="auto"/>
                <w:kern w:val="0"/>
                <w:sz w:val="22"/>
                <w:szCs w:val="22"/>
                <w:lang w:val="en-US" w:eastAsia="zh-CN" w:bidi="ar"/>
              </w:rPr>
              <w:t>从业人员缴纳工伤保险的，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 xml:space="preserve">12.3 职业危害告知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heme="minorEastAsia" w:hAnsiTheme="minorEastAsia" w:eastAsiaTheme="minorEastAsia" w:cstheme="minorEastAsia"/>
                <w:sz w:val="22"/>
                <w:szCs w:val="22"/>
                <w:shd w:val="clear" w:color="auto" w:fill="FFFFFF"/>
                <w:lang w:val="en-US" w:eastAsia="zh-CN"/>
              </w:rPr>
            </w:pPr>
            <w:r>
              <w:rPr>
                <w:rFonts w:hint="default" w:asciiTheme="minorEastAsia" w:hAnsiTheme="minorEastAsia" w:eastAsiaTheme="minorEastAsia" w:cstheme="minorEastAsia"/>
                <w:sz w:val="22"/>
                <w:szCs w:val="22"/>
                <w:shd w:val="clear" w:color="auto" w:fill="FFFFFF"/>
                <w:lang w:val="en-US" w:eastAsia="zh-CN"/>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存在职业病危害的岗位人员劳动合同中无职业危害告知记录的，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未对从业人员和相关方告知工作场所和岗位存在的职业危害、防护措施和应急措施的，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十三、</w:t>
            </w:r>
            <w:r>
              <w:rPr>
                <w:rFonts w:hint="default" w:ascii="Times New Roman" w:hAnsi="Times New Roman" w:eastAsia="宋体" w:cs="Times New Roman"/>
                <w:color w:val="auto"/>
                <w:kern w:val="0"/>
                <w:sz w:val="22"/>
                <w:szCs w:val="22"/>
                <w:lang w:val="en-US" w:eastAsia="zh-CN" w:bidi="ar"/>
              </w:rPr>
              <w:t xml:space="preserve"> 安全文化 </w:t>
            </w:r>
            <w:r>
              <w:rPr>
                <w:rFonts w:hint="eastAsia" w:ascii="Times New Roman" w:hAnsi="Times New Roman" w:eastAsia="宋体" w:cs="Times New Roman"/>
                <w:color w:val="auto"/>
                <w:kern w:val="0"/>
                <w:sz w:val="22"/>
                <w:szCs w:val="22"/>
                <w:lang w:val="en-US" w:eastAsia="zh-CN" w:bidi="ar"/>
              </w:rPr>
              <w:t>25</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13.1 安全环境</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10分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设立安全文化廊、安全角、黑板报、宣传栏等员工安全文化阵地</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不断向员工灌输“以人为本，安全第一”、“安全就是效益、安全创造效益”、“行为源于认识，预防胜于处罚，责任重于泰山”、“安全不是为了别人，而是为了你自己””安全价值观，形成人人重视安全，人人为安全尽责的良好氛围。每月至少更换一次内容的考核要求，从制度上保证企业安全文化宣传频率，主要是为了促使企业自觉主动开展安全文化创建活动</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5</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安全文化宣传1年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未达到</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12次的，</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缺一次扣2分</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2.无安全文化宣传资料档案的，</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公开安全生产举报电话号码、通信地址或者电子邮件信箱。对接到的安全生产举报和投诉及时予以调查和处理，并公开处理结果</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heme="minorEastAsia" w:hAnsiTheme="minorEastAsia" w:eastAsiaTheme="minorEastAsia" w:cstheme="minorEastAsia"/>
                <w:kern w:val="0"/>
                <w:sz w:val="22"/>
                <w:szCs w:val="22"/>
              </w:rPr>
              <w:t>加强安全生产违法法规行为监督管理对于减少和促进安全生产“三违”行为在有着十分重要意义。企业要充分发挥工会、共青团、妇联组织的作用，依法维护和落实企业职工对安全生产的参与权与监督权，鼓励职工监督举报各类安全隐患，对举报者予以奖励</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1</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无安全生产奖励举报制度的，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2.没有公开安全生产举报电话的，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3.对接到的安全生产举报和投诉未及时调查和处理或处理结果未公开的，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13.2 安全行为</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企业应建立包括安全价值观、安全愿景、安全使命和安全目标等在内的安全承诺</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本条所称“安全承诺”是指由企业公开做出的、代表了全体员工在关注安全和追求安全绩效方面所具有的稳定意愿及实践行动的明确表示。作为企业应该就遵守安全生产法律法规、执行安全生产规章制度、保证安全生产投入、持续具备安全生产条件等与安全生产各岗位签订安全生产承诺书，向企业员工及社会作出公开承诺，自觉接受监督。同时，员工就履行岗位安全责任向企业作出承诺</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企业未开展安全承诺活动，</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抽查的人员</w:t>
            </w:r>
            <w:r>
              <w:rPr>
                <w:rFonts w:hint="default" w:ascii="Times New Roman" w:hAnsi="Times New Roman" w:eastAsia="宋体" w:cs="Times New Roman"/>
                <w:color w:val="auto"/>
                <w:kern w:val="0"/>
                <w:sz w:val="22"/>
                <w:szCs w:val="22"/>
                <w:lang w:val="en-US" w:eastAsia="zh-CN" w:bidi="ar"/>
              </w:rPr>
              <w:t>未签订安全承诺书，</w:t>
            </w:r>
            <w:r>
              <w:rPr>
                <w:rFonts w:hint="eastAsia" w:ascii="Times New Roman" w:hAnsi="Times New Roman" w:eastAsia="宋体" w:cs="Times New Roman"/>
                <w:color w:val="auto"/>
                <w:kern w:val="0"/>
                <w:sz w:val="22"/>
                <w:szCs w:val="22"/>
                <w:lang w:val="en-US" w:eastAsia="zh-CN" w:bidi="ar"/>
              </w:rPr>
              <w:t>发现1人扣1分</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2"/>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企业应组织开展安全生产月活动、安全生产班组竞赛活动，有方案、有总结</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未开展安全生产活动的，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3"/>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安全生产活动档案资料不齐全，</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十四、</w:t>
            </w:r>
            <w:r>
              <w:rPr>
                <w:rFonts w:hint="default" w:ascii="Times New Roman" w:hAnsi="Times New Roman" w:eastAsia="宋体" w:cs="Times New Roman"/>
                <w:color w:val="auto"/>
                <w:kern w:val="0"/>
                <w:sz w:val="22"/>
                <w:szCs w:val="22"/>
                <w:lang w:val="en-US" w:eastAsia="zh-CN" w:bidi="ar"/>
              </w:rPr>
              <w:t xml:space="preserve">应急管理 </w:t>
            </w:r>
            <w:r>
              <w:rPr>
                <w:rFonts w:hint="eastAsia" w:ascii="Times New Roman" w:hAnsi="Times New Roman" w:eastAsia="宋体" w:cs="Times New Roman"/>
                <w:color w:val="auto"/>
                <w:kern w:val="0"/>
                <w:sz w:val="22"/>
                <w:szCs w:val="22"/>
                <w:lang w:val="en-US" w:eastAsia="zh-CN" w:bidi="ar"/>
              </w:rPr>
              <w:t>9</w:t>
            </w:r>
            <w:r>
              <w:rPr>
                <w:rFonts w:hint="default" w:ascii="Times New Roman" w:hAnsi="Times New Roman" w:eastAsia="宋体" w:cs="Times New Roman"/>
                <w:color w:val="auto"/>
                <w:kern w:val="0"/>
                <w:sz w:val="22"/>
                <w:szCs w:val="22"/>
                <w:lang w:val="en-US" w:eastAsia="zh-CN" w:bidi="ar"/>
              </w:rPr>
              <w:t>0分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14.1 预案制定</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企业应开展安全风险评估和应急资源调查</w:t>
            </w:r>
            <w:r>
              <w:rPr>
                <w:rFonts w:hint="eastAsia" w:ascii="Times New Roman" w:hAnsi="Times New Roman" w:eastAsia="宋体" w:cs="Times New Roman"/>
                <w:color w:val="auto"/>
                <w:kern w:val="0"/>
                <w:sz w:val="22"/>
                <w:szCs w:val="22"/>
                <w:lang w:val="en-US" w:eastAsia="zh-CN" w:bidi="ar"/>
              </w:rPr>
              <w:t>，并编制报告；</w:t>
            </w:r>
            <w:r>
              <w:rPr>
                <w:rFonts w:hint="default" w:ascii="Times New Roman" w:hAnsi="Times New Roman" w:eastAsia="宋体" w:cs="Times New Roman"/>
                <w:color w:val="auto"/>
                <w:kern w:val="0"/>
                <w:sz w:val="22"/>
                <w:szCs w:val="22"/>
                <w:lang w:val="en-US" w:eastAsia="zh-CN" w:bidi="ar"/>
              </w:rPr>
              <w:t>建立生产安全事故应急预案体系，制定符合GB/T 29639规定的生产安全事故应急预案，针对安全风险较大的重点场所（设施）制定现场处置方案，并编制重点岗位、人员应急处置卡</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《生产安全事故应急预案管理办法》第十条规定：编制应急预案前，编制单位应当进行事故风险辨识、评估和应急资源调查</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应急资源调查，是指全面调查本地区、本单位第一时间可以调用的应急资源状况和合作区域内可以请求援助的应急资源状况，并结合事故风险辨识评估结论制定应急措施的过程。</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《生产安全事故应急预案管理办法》第十九条规定：生产经营单位应当在编制应急预案的基础上，针对工作场所、岗位的特点，编制简明、实用、有效的应急处置卡</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lang w:val="en-US" w:eastAsia="zh-CN" w:bidi="ar-SA"/>
              </w:rPr>
            </w:pP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未编制安全风险评估和应急资源调查报告，</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生产安全事故应急预案体系不全，</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numPr>
                <w:ilvl w:val="0"/>
                <w:numId w:val="24"/>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color w:val="000000" w:themeColor="text1"/>
                <w:sz w:val="22"/>
                <w:szCs w:val="22"/>
                <w:lang w:val="en-US" w:eastAsia="zh-CN"/>
                <w14:textFill>
                  <w14:solidFill>
                    <w14:schemeClr w14:val="tx1"/>
                  </w14:solidFill>
                </w14:textFill>
              </w:rPr>
            </w:pPr>
            <w:r>
              <w:rPr>
                <w:rFonts w:hint="default"/>
                <w:color w:val="000000" w:themeColor="text1"/>
                <w:sz w:val="22"/>
                <w:szCs w:val="22"/>
                <w:lang w:val="en-US" w:eastAsia="zh-CN"/>
                <w14:textFill>
                  <w14:solidFill>
                    <w14:schemeClr w14:val="tx1"/>
                  </w14:solidFill>
                </w14:textFill>
              </w:rPr>
              <w:t>现场处置方案不全</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val="en-US" w:eastAsia="zh-CN"/>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r>
              <w:rPr>
                <w:rFonts w:hint="default"/>
                <w:color w:val="000000" w:themeColor="text1"/>
                <w:sz w:val="22"/>
                <w:szCs w:val="22"/>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eastAsia"/>
                <w:color w:val="000000" w:themeColor="text1"/>
                <w:sz w:val="22"/>
                <w:szCs w:val="22"/>
                <w:lang w:val="en-US" w:eastAsia="zh-CN"/>
                <w14:textFill>
                  <w14:solidFill>
                    <w14:schemeClr w14:val="tx1"/>
                  </w14:solidFill>
                </w14:textFill>
              </w:rPr>
              <w:t>4.</w:t>
            </w:r>
            <w:r>
              <w:rPr>
                <w:rFonts w:hint="default"/>
                <w:color w:val="000000" w:themeColor="text1"/>
                <w:sz w:val="22"/>
                <w:szCs w:val="22"/>
                <w:lang w:val="en-US" w:eastAsia="zh-CN"/>
                <w14:textFill>
                  <w14:solidFill>
                    <w14:schemeClr w14:val="tx1"/>
                  </w14:solidFill>
                </w14:textFill>
              </w:rPr>
              <w:t>重点岗位、人员应急处置卡不全，或处置卡信息不完整</w:t>
            </w:r>
            <w:r>
              <w:rPr>
                <w:rFonts w:hint="eastAsia"/>
                <w:color w:val="000000" w:themeColor="text1"/>
                <w:sz w:val="22"/>
                <w:szCs w:val="22"/>
                <w:lang w:val="en-US" w:eastAsia="zh-Hans"/>
                <w14:textFill>
                  <w14:solidFill>
                    <w14:schemeClr w14:val="tx1"/>
                  </w14:solidFill>
                </w14:textFill>
              </w:rPr>
              <w:t>的</w:t>
            </w:r>
            <w:r>
              <w:rPr>
                <w:rFonts w:hint="default"/>
                <w:color w:val="000000" w:themeColor="text1"/>
                <w:sz w:val="22"/>
                <w:szCs w:val="22"/>
                <w:lang w:eastAsia="zh-Hans"/>
                <w14:textFill>
                  <w14:solidFill>
                    <w14:schemeClr w14:val="tx1"/>
                  </w14:solidFill>
                </w14:textFill>
              </w:rPr>
              <w:t>，</w:t>
            </w:r>
            <w:r>
              <w:rPr>
                <w:rFonts w:hint="eastAsia"/>
                <w:color w:val="000000" w:themeColor="text1"/>
                <w:sz w:val="22"/>
                <w:szCs w:val="22"/>
                <w:lang w:val="en-US" w:eastAsia="zh-Hans"/>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color w:val="000000" w:themeColor="text1"/>
                <w:sz w:val="22"/>
                <w:szCs w:val="22"/>
                <w:lang w:val="en-US" w:eastAsia="zh-CN"/>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应急预案应与当地政府、行业管理部门预案保持衔接，报当地有关部门备案，通报有关协作单位</w:t>
            </w:r>
          </w:p>
        </w:tc>
        <w:tc>
          <w:tcPr>
            <w:tcW w:w="3341" w:type="dxa"/>
            <w:tcBorders>
              <w:tl2br w:val="nil"/>
              <w:tr2bl w:val="nil"/>
            </w:tcBorders>
            <w:shd w:val="clear" w:color="auto" w:fill="auto"/>
            <w:tcMar>
              <w:top w:w="75" w:type="dxa"/>
              <w:left w:w="90" w:type="dxa"/>
              <w:bottom w:w="75" w:type="dxa"/>
              <w:right w:w="90" w:type="dxa"/>
            </w:tcMar>
            <w:vAlign w:val="center"/>
          </w:tcPr>
          <w:p>
            <w:pPr>
              <w:pStyle w:val="10"/>
              <w:keepNext w:val="0"/>
              <w:keepLines w:val="0"/>
              <w:widowControl/>
              <w:suppressLineNumbers w:val="0"/>
              <w:spacing w:line="336" w:lineRule="atLeast"/>
              <w:jc w:val="left"/>
              <w:rPr>
                <w:rFonts w:hint="default"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lang w:val="en-US" w:eastAsia="zh-CN" w:bidi="ar"/>
              </w:rPr>
              <w:t>《安全生产法》第二十六条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highlight w:val="none"/>
                <w:lang w:val="en-US" w:eastAsia="zh-CN" w:bidi="ar-SA"/>
              </w:rPr>
            </w:pPr>
            <w:r>
              <w:rPr>
                <w:rFonts w:hint="eastAsia" w:ascii="Times New Roman" w:hAnsi="Times New Roman" w:eastAsia="宋体" w:cs="Times New Roman"/>
                <w:color w:val="auto"/>
                <w:kern w:val="0"/>
                <w:sz w:val="22"/>
                <w:szCs w:val="22"/>
                <w:highlight w:val="none"/>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5"/>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未明确如何将企业突发事件应急预案与行业主管部门、政府预案保持衔接，</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highlight w:val="none"/>
                <w:lang w:eastAsia="zh-CN"/>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2.突发事件应急预案未报备属地行业主管部门和当地政府安全监督管理等部门</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3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③</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highlight w:val="none"/>
                <w:lang w:val="en-US" w:eastAsia="zh-CN" w:bidi="ar"/>
              </w:rPr>
              <w:t>企业应组织开展应急预案评审或论证，并定期进行评估和修订</w:t>
            </w:r>
            <w:r>
              <w:rPr>
                <w:rFonts w:hint="eastAsia" w:ascii="Times New Roman" w:hAnsi="Times New Roman" w:eastAsia="宋体" w:cs="Times New Roman"/>
                <w:color w:val="auto"/>
                <w:kern w:val="0"/>
                <w:sz w:val="22"/>
                <w:szCs w:val="22"/>
                <w:highlight w:val="none"/>
                <w:lang w:val="en-US" w:eastAsia="zh-CN" w:bidi="ar"/>
              </w:rPr>
              <w:t>。</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rPr>
              <w:t>根据《企业安全生产标准化基本规范》和《生产安全事故应急预案管理办法》，应急预案应定期评审，并根据评审结果或实际情况的变化进行修订和完善，至少每三年修订一次,预案修订情况应有记录并归档</w:t>
            </w:r>
            <w:r>
              <w:rPr>
                <w:rFonts w:hint="eastAsia" w:ascii="宋体" w:hAnsi="宋体"/>
                <w:sz w:val="22"/>
                <w:szCs w:val="22"/>
                <w:lang w:eastAsia="zh-CN"/>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第三十六条</w:t>
            </w:r>
            <w:r>
              <w:rPr>
                <w:rFonts w:hint="eastAsia" w:ascii="宋体" w:hAnsi="宋体"/>
                <w:sz w:val="22"/>
                <w:szCs w:val="22"/>
                <w:lang w:val="en-US" w:eastAsia="zh-CN"/>
              </w:rPr>
              <w:t>规定：</w:t>
            </w:r>
            <w:r>
              <w:rPr>
                <w:rFonts w:hint="eastAsia" w:ascii="宋体" w:hAnsi="宋体"/>
                <w:sz w:val="22"/>
                <w:szCs w:val="22"/>
                <w:lang w:eastAsia="zh-CN"/>
              </w:rPr>
              <w:t>有下列情形之一的，应急预案应当及时修订并归档：</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（一）依据的法律、法规、规章、标准及上位预案中的有关规定发生重大变化的；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（二）应急指挥机构及其职责发生调整的；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（三）安全生产面临的风险发生重大变化的；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（四）重要应急资源发生重大变化的；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宋体" w:hAnsi="宋体"/>
                <w:sz w:val="22"/>
                <w:szCs w:val="22"/>
                <w:lang w:eastAsia="zh-CN"/>
              </w:rPr>
            </w:pPr>
            <w:r>
              <w:rPr>
                <w:rFonts w:hint="eastAsia" w:ascii="宋体" w:hAnsi="宋体"/>
                <w:sz w:val="22"/>
                <w:szCs w:val="22"/>
                <w:lang w:eastAsia="zh-CN"/>
              </w:rPr>
              <w:t>（五）在应急演练和事故应急救援中发现需要修订预案的重大问题的；</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cs="Times New Roman" w:eastAsiaTheme="minorEastAsia"/>
                <w:b/>
                <w:bCs/>
                <w:color w:val="auto"/>
                <w:kern w:val="0"/>
                <w:sz w:val="22"/>
                <w:szCs w:val="22"/>
                <w:highlight w:val="none"/>
                <w:lang w:val="en-US" w:eastAsia="zh-CN" w:bidi="ar"/>
              </w:rPr>
            </w:pPr>
            <w:r>
              <w:rPr>
                <w:rFonts w:hint="eastAsia" w:ascii="宋体" w:hAnsi="宋体"/>
                <w:sz w:val="22"/>
                <w:szCs w:val="22"/>
                <w:lang w:eastAsia="zh-CN"/>
              </w:rPr>
              <w:t>（六）编制单位认为应当修订的其他情况。</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highlight w:val="none"/>
                <w:lang w:val="en-US" w:eastAsia="zh-CN" w:bidi="ar"/>
              </w:rPr>
            </w:pPr>
            <w:r>
              <w:rPr>
                <w:rFonts w:hint="eastAsia" w:ascii="Times New Roman" w:hAnsi="Times New Roman" w:eastAsia="宋体" w:cs="Times New Roman"/>
                <w:color w:val="auto"/>
                <w:kern w:val="0"/>
                <w:sz w:val="22"/>
                <w:szCs w:val="22"/>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2"/>
                <w:sz w:val="22"/>
                <w:szCs w:val="22"/>
                <w:highlight w:val="none"/>
                <w:lang w:val="en-US" w:eastAsia="zh-CN" w:bidi="ar-SA"/>
              </w:rPr>
            </w:pPr>
            <w:r>
              <w:rPr>
                <w:rFonts w:hint="default" w:ascii="Times New Roman" w:hAnsi="Times New Roman" w:eastAsia="宋体" w:cs="Times New Roman"/>
                <w:color w:val="auto"/>
                <w:kern w:val="0"/>
                <w:sz w:val="22"/>
                <w:szCs w:val="22"/>
                <w:highlight w:val="none"/>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未将应急预案执行情况纳入企业安全生产标准化定期评审制度，</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未按规定对应急预案进行定期评审，</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numPr>
                <w:ilvl w:val="0"/>
                <w:numId w:val="26"/>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未根据评审情况对预案进行修改完善，</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t>4</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w:t>
            </w:r>
            <w:r>
              <w:rPr>
                <w:rFonts w:hint="default" w:ascii="Times New Roman" w:hAnsi="Times New Roman" w:eastAsia="宋体" w:cs="Times New Roman"/>
                <w:color w:val="000000" w:themeColor="text1"/>
                <w:kern w:val="0"/>
                <w:sz w:val="22"/>
                <w:szCs w:val="22"/>
                <w:highlight w:val="none"/>
                <w:lang w:val="en-US" w:eastAsia="zh-CN" w:bidi="ar"/>
                <w14:textFill>
                  <w14:solidFill>
                    <w14:schemeClr w14:val="tx1"/>
                  </w14:solidFill>
                </w14:textFill>
              </w:rPr>
              <w:t>应急预案修订未向事先报备或通报的单位或部门报告，</w:t>
            </w:r>
            <w:r>
              <w:rPr>
                <w:rFonts w:hint="eastAsia" w:ascii="Times New Roman" w:hAnsi="Times New Roman" w:eastAsia="宋体" w:cs="Times New Roman"/>
                <w:color w:val="000000" w:themeColor="text1"/>
                <w:kern w:val="0"/>
                <w:sz w:val="22"/>
                <w:szCs w:val="22"/>
                <w:highlight w:val="none"/>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highlight w:val="none"/>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14.2 预案实施</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开展应急预案的宣传教育培训，使有关人员了解应急预案内容，熟悉应急职责、应急程序和现场处置方案，并普及生产安全事故预防、避险、自救和互救知识</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根据《生产安全事故应急预案管理办法》第三十一条规定：生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未开展应急预案培训的，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14.4 应急物资</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企业应根据可能发生的事故种类特点，按照有关规定设置应急设施，配备应急装备，储备应急物资</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《生产安全事故应急预案管理办法》规定，生产经营单位应当按照应急预案的要求配备相应的应急物资及装备，建立使用状况档案，定期检测和维护，使其处于良好状态</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未配备足够的应急救援设备、器材、物资和相应品种、数量的急救药品的，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企业应建立管理台账，安排专人管理，并定期检查、维护、保养，确保其完好、可靠</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应急装备是指用于应急管理与应急救援的工具、器材、服装、技术力量等。</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《企业安全生产标准化基本规范》规定，企业应按规定建立应急设施，配备应急装备</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应急救援器材、设施未定期检查维护的，</w:t>
            </w:r>
            <w:r>
              <w:rPr>
                <w:rFonts w:hint="eastAsia" w:ascii="Times New Roman" w:hAnsi="Times New Roman" w:eastAsia="宋体" w:cs="Times New Roman"/>
                <w:color w:val="auto"/>
                <w:kern w:val="0"/>
                <w:sz w:val="22"/>
                <w:szCs w:val="22"/>
                <w:lang w:val="en-US" w:eastAsia="zh-CN" w:bidi="ar"/>
              </w:rPr>
              <w:t>不得分</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应急救援器材、设施完整性不符合要求的，</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7"/>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14.5 应急演练</w:t>
            </w:r>
            <w:r>
              <w:rPr>
                <w:rFonts w:hint="eastAsia" w:ascii="Times New Roman" w:hAnsi="Times New Roman" w:eastAsia="宋体" w:cs="Times New Roman"/>
                <w:color w:val="auto"/>
                <w:kern w:val="0"/>
                <w:sz w:val="22"/>
                <w:szCs w:val="22"/>
                <w:lang w:val="en-US" w:eastAsia="zh-CN" w:bidi="ar"/>
              </w:rPr>
              <w:t>（20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9007《生产安全事故应急演练指南》的规定定期组织开展生产安全事故应急演练，做到一线从业人员参与应急演练全覆盖</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highlight w:val="none"/>
                <w:lang w:val="en-US" w:eastAsia="zh-CN" w:bidi="ar"/>
              </w:rPr>
              <w:t>《生产安全事故应急条例》</w:t>
            </w:r>
            <w:r>
              <w:rPr>
                <w:rFonts w:hint="default" w:ascii="Times New Roman" w:hAnsi="Times New Roman" w:eastAsia="宋体" w:cs="Times New Roman"/>
                <w:color w:val="auto"/>
                <w:kern w:val="0"/>
                <w:sz w:val="22"/>
                <w:szCs w:val="22"/>
                <w:highlight w:val="none"/>
                <w:lang w:val="en-US" w:eastAsia="zh-CN" w:bidi="ar"/>
              </w:rPr>
              <w:t>易燃易爆物品、危险化学品等危险物品的生产、经营、储存、运输单位，矿山、金属冶炼、城市轨道交通运营、建筑施工单位，以及宾馆、商场、娱乐场所、旅游景区等人员密集场所经营单位，应当至少每半年组织一次生产安全事故应急预案演练，并将演练情况报送所在地县级以上地方人民政府</w:t>
            </w:r>
            <w:r>
              <w:rPr>
                <w:rFonts w:hint="default" w:ascii="Times New Roman" w:hAnsi="Times New Roman" w:eastAsia="宋体" w:cs="Times New Roman"/>
                <w:color w:val="auto"/>
                <w:kern w:val="0"/>
                <w:sz w:val="22"/>
                <w:szCs w:val="22"/>
                <w:lang w:val="en-US" w:eastAsia="zh-CN" w:bidi="ar"/>
              </w:rPr>
              <w:t>负有安全生产监督管理职责的部门</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1.未</w:t>
            </w:r>
            <w:r>
              <w:rPr>
                <w:rFonts w:hint="default" w:ascii="Times New Roman" w:hAnsi="Times New Roman" w:eastAsia="宋体" w:cs="Times New Roman"/>
                <w:color w:val="auto"/>
                <w:kern w:val="0"/>
                <w:sz w:val="22"/>
                <w:szCs w:val="22"/>
                <w:lang w:val="en-US" w:eastAsia="zh-CN" w:bidi="ar"/>
              </w:rPr>
              <w:t>按照规定制定应急预案演练划，并印发</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sz w:val="22"/>
                <w:szCs w:val="22"/>
                <w:lang w:eastAsia="zh-CN"/>
              </w:rPr>
            </w:pPr>
            <w:r>
              <w:rPr>
                <w:rFonts w:hint="eastAsia" w:ascii="Times New Roman" w:hAnsi="Times New Roman" w:eastAsia="宋体" w:cs="Times New Roman"/>
                <w:color w:val="auto"/>
                <w:kern w:val="0"/>
                <w:sz w:val="22"/>
                <w:szCs w:val="22"/>
                <w:lang w:val="en-US" w:eastAsia="zh-CN" w:bidi="ar"/>
              </w:rPr>
              <w:t>2.未</w:t>
            </w:r>
            <w:r>
              <w:rPr>
                <w:rFonts w:hint="default" w:ascii="Times New Roman" w:hAnsi="Times New Roman" w:eastAsia="宋体" w:cs="Times New Roman"/>
                <w:color w:val="auto"/>
                <w:kern w:val="0"/>
                <w:sz w:val="22"/>
                <w:szCs w:val="22"/>
                <w:lang w:val="en-US" w:eastAsia="zh-CN" w:bidi="ar"/>
              </w:rPr>
              <w:t>按计划开展应急演练，并保留应急演练记录；应急演练记录应完整、齐全、详细</w:t>
            </w:r>
            <w:r>
              <w:rPr>
                <w:rFonts w:hint="eastAsia"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bottom w:val="single" w:color="auto" w:sz="4" w:space="0"/>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企业应按照AQ/T 9009《生产安全事故应急演练评估规范》的规定对演练进行总结和评估，根据评估结论和演练发现的问题，修订、完善应急预案，改进应急准备工作</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《生产安全事故应急预案管理办法》</w:t>
            </w:r>
            <w:r>
              <w:rPr>
                <w:rFonts w:hint="default" w:ascii="Times New Roman" w:hAnsi="Times New Roman" w:eastAsia="宋体" w:cs="Times New Roman"/>
                <w:color w:val="auto"/>
                <w:kern w:val="0"/>
                <w:sz w:val="22"/>
                <w:szCs w:val="22"/>
                <w:lang w:val="en-US" w:eastAsia="zh-CN" w:bidi="ar"/>
              </w:rPr>
              <w:t>第三十四条</w:t>
            </w:r>
            <w:r>
              <w:rPr>
                <w:rFonts w:hint="eastAsia" w:ascii="Times New Roman" w:hAnsi="Times New Roman" w:eastAsia="宋体" w:cs="Times New Roman"/>
                <w:color w:val="auto"/>
                <w:kern w:val="0"/>
                <w:sz w:val="22"/>
                <w:szCs w:val="22"/>
                <w:lang w:val="en-US" w:eastAsia="zh-CN" w:bidi="ar"/>
              </w:rPr>
              <w:t>规定“</w:t>
            </w:r>
            <w:r>
              <w:rPr>
                <w:rFonts w:hint="default" w:ascii="Times New Roman" w:hAnsi="Times New Roman" w:eastAsia="宋体" w:cs="Times New Roman"/>
                <w:color w:val="auto"/>
                <w:kern w:val="0"/>
                <w:sz w:val="22"/>
                <w:szCs w:val="22"/>
                <w:lang w:val="en-US" w:eastAsia="zh-CN" w:bidi="ar"/>
              </w:rPr>
              <w:t>应急预案演练结束后，应急预案演练组织单位应当对应急预案演练效果进行评估，撰写应急预案演练评估报告，分析存在的问题，并对应急预案提出修订意见。</w:t>
            </w:r>
            <w:r>
              <w:rPr>
                <w:rFonts w:hint="eastAsia" w:ascii="Times New Roman" w:hAnsi="Times New Roman" w:eastAsia="宋体" w:cs="Times New Roman"/>
                <w:color w:val="auto"/>
                <w:kern w:val="0"/>
                <w:sz w:val="22"/>
                <w:szCs w:val="22"/>
                <w:lang w:val="en-US" w:eastAsia="zh-CN" w:bidi="ar"/>
              </w:rPr>
              <w:t>”</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演练后未对应急预案演练</w:t>
            </w:r>
            <w:r>
              <w:rPr>
                <w:rFonts w:hint="eastAsia" w:ascii="Times New Roman" w:hAnsi="Times New Roman" w:eastAsia="宋体" w:cs="Times New Roman"/>
                <w:color w:val="auto"/>
                <w:kern w:val="0"/>
                <w:sz w:val="22"/>
                <w:szCs w:val="22"/>
                <w:lang w:val="en-US" w:eastAsia="zh-CN" w:bidi="ar"/>
              </w:rPr>
              <w:t>总结</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十五、</w:t>
            </w:r>
            <w:r>
              <w:rPr>
                <w:rFonts w:hint="default" w:ascii="Times New Roman" w:hAnsi="Times New Roman" w:eastAsia="宋体" w:cs="Times New Roman"/>
                <w:color w:val="auto"/>
                <w:kern w:val="0"/>
                <w:sz w:val="22"/>
                <w:szCs w:val="22"/>
                <w:lang w:val="en-US" w:eastAsia="zh-CN" w:bidi="ar"/>
              </w:rPr>
              <w:t xml:space="preserve"> 事故报告及统计 </w:t>
            </w:r>
            <w:r>
              <w:rPr>
                <w:rFonts w:hint="eastAsia" w:ascii="Times New Roman" w:hAnsi="Times New Roman" w:eastAsia="宋体" w:cs="Times New Roman"/>
                <w:color w:val="auto"/>
                <w:kern w:val="0"/>
                <w:sz w:val="22"/>
                <w:szCs w:val="22"/>
                <w:lang w:val="en-US" w:eastAsia="zh-CN" w:bidi="ar"/>
              </w:rPr>
              <w:t>40</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15.1 事故报告</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企业应建立事故报告程序，明确事故内外部报告的责任人、时限、内容等，并教育、指导从业人员严格按照有关规定的程序报告发生的生产安全事故</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照《生产安全事故报告和调查处理条例》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事故报告程序规定的内容不够充分、完整，</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28"/>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未按事故报告程序的规定，发生事故后，</w:t>
            </w:r>
            <w:r>
              <w:rPr>
                <w:rFonts w:hint="eastAsia" w:ascii="Times New Roman" w:hAnsi="Times New Roman" w:eastAsia="宋体" w:cs="Times New Roman"/>
                <w:color w:val="000000" w:themeColor="text1"/>
                <w:kern w:val="0"/>
                <w:sz w:val="22"/>
                <w:szCs w:val="22"/>
                <w:lang w:val="en-US" w:eastAsia="zh-CN" w:bidi="ar"/>
                <w14:textFill>
                  <w14:solidFill>
                    <w14:schemeClr w14:val="tx1"/>
                  </w14:solidFill>
                </w14:textFill>
              </w:rPr>
              <w:t>未</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按要求进行报告，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3.事故报告过程的资料保留不全，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企业应跟踪事故发展情况，及时续报事故信息</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为了掌握公司应对险情或生产安全事故的情况，对公司应急能力进行评估，找出应急准备、应急处置的薄弱环节。制定相应的措施加强应急能力</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未及时续报事故信息要求</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，续报事故信息未保留记录</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15.2 事故调查处理 </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2</w:t>
            </w:r>
            <w:r>
              <w:rPr>
                <w:rFonts w:hint="eastAsia" w:ascii="Times New Roman" w:hAnsi="Times New Roman" w:eastAsia="宋体" w:cs="Times New Roman"/>
                <w:color w:val="auto"/>
                <w:kern w:val="0"/>
                <w:sz w:val="22"/>
                <w:szCs w:val="22"/>
                <w:lang w:val="en-US" w:eastAsia="zh-CN" w:bidi="ar"/>
              </w:rPr>
              <w:t>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企业应建立内部事故调查和处理制度，按照有关规定、行业标准和国际通行做法，将造成人员伤亡（轻伤、重伤、死亡等人身伤害和急性中毒）和财产损失的事故纳入事故调查和处理范畴</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企业应按“四不放过”原则严肃查处事故</w:t>
            </w:r>
            <w:r>
              <w:rPr>
                <w:rFonts w:hint="eastAsia" w:ascii="Times New Roman" w:hAnsi="Times New Roman" w:eastAsia="宋体" w:cs="Times New Roman"/>
                <w:color w:val="auto"/>
                <w:kern w:val="0"/>
                <w:sz w:val="22"/>
                <w:szCs w:val="22"/>
                <w:lang w:val="en-US" w:eastAsia="zh-CN" w:bidi="ar"/>
              </w:rPr>
              <w:t>，</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按照有关规定、行业标准和国际通行做法，将造成人员伤亡（轻伤、重伤、死亡等人身伤害和急性中毒）和财产损失的事故纳入事故调查和处理范畴</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29"/>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未制定</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合理</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完善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符合相关要求的</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事故调查和处理制度，</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.未按规定将造成人员伤亡（轻伤、重伤、死亡等人身伤害和急性中毒）和财产损失的事故进行调查和处理的，</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3</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.事故调查和处理资料不全</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企业应按时提交事故调查报告，分析事故原因，落实整改措施</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事故报告调查规定的内容</w:t>
            </w:r>
            <w:r>
              <w:rPr>
                <w:rFonts w:hint="default" w:ascii="Times New Roman" w:hAnsi="Times New Roman" w:eastAsia="宋体" w:cs="Times New Roman"/>
                <w:color w:val="000000" w:themeColor="text1"/>
                <w:kern w:val="0"/>
                <w:sz w:val="22"/>
                <w:szCs w:val="22"/>
                <w:lang w:eastAsia="zh-CN"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3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企业未及时上报事故调查报告，</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t>3.未进行事故原因分析，落实整改措施</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的</w:t>
            </w:r>
            <w:r>
              <w:rPr>
                <w:rFonts w:hint="default" w:ascii="Times New Roman" w:hAnsi="Times New Roman" w:eastAsia="宋体" w:cs="Times New Roman"/>
                <w:color w:val="000000" w:themeColor="text1"/>
                <w:kern w:val="0"/>
                <w:sz w:val="22"/>
                <w:szCs w:val="22"/>
                <w:lang w:eastAsia="zh-Hans" w:bidi="ar"/>
                <w14:textFill>
                  <w14:solidFill>
                    <w14:schemeClr w14:val="tx1"/>
                  </w14:solidFill>
                </w14:textFill>
              </w:rPr>
              <w:t>，</w:t>
            </w:r>
            <w:r>
              <w:rPr>
                <w:rFonts w:hint="eastAsia" w:ascii="Times New Roman" w:hAnsi="Times New Roman" w:eastAsia="宋体" w:cs="Times New Roman"/>
                <w:color w:val="000000" w:themeColor="text1"/>
                <w:kern w:val="0"/>
                <w:sz w:val="22"/>
                <w:szCs w:val="22"/>
                <w:lang w:val="en-US" w:eastAsia="zh-Hans" w:bidi="ar"/>
                <w14:textFill>
                  <w14:solidFill>
                    <w14:schemeClr w14:val="tx1"/>
                  </w14:solidFill>
                </w14:textFill>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ind w:left="0" w:leftChars="0" w:firstLine="0" w:firstLineChars="0"/>
              <w:jc w:val="left"/>
              <w:rPr>
                <w:rFonts w:hint="default" w:ascii="Times New Roman" w:hAnsi="Times New Roman" w:eastAsia="宋体" w:cs="Times New Roman"/>
                <w:color w:val="000000" w:themeColor="text1"/>
                <w:kern w:val="0"/>
                <w:sz w:val="22"/>
                <w:szCs w:val="22"/>
                <w:lang w:val="en-US" w:eastAsia="zh-CN" w:bidi="ar"/>
                <w14:textFill>
                  <w14:solidFill>
                    <w14:schemeClr w14:val="tx1"/>
                  </w14:solidFill>
                </w14:textFill>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15.3 事故档案管理 </w:t>
            </w:r>
            <w:r>
              <w:rPr>
                <w:rFonts w:hint="eastAsia" w:ascii="Times New Roman" w:hAnsi="Times New Roman" w:eastAsia="宋体" w:cs="Times New Roman"/>
                <w:color w:val="auto"/>
                <w:kern w:val="0"/>
                <w:sz w:val="22"/>
                <w:szCs w:val="22"/>
                <w:lang w:val="en-US" w:eastAsia="zh-CN" w:bidi="ar"/>
              </w:rPr>
              <w:t>（10</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企业应建立事故档案和管理台账</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《交通运输企业安全生产标准化建设基本规范》中规定企业应建立事故档案和管理台账</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2"/>
                <w:sz w:val="22"/>
                <w:szCs w:val="22"/>
                <w:lang w:val="en-US" w:eastAsia="zh-CN" w:bidi="ar-SA"/>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未建立事故档案和管理台账</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sz w:val="22"/>
                <w:szCs w:val="22"/>
              </w:rPr>
            </w:pPr>
            <w:r>
              <w:rPr>
                <w:rFonts w:hint="eastAsia" w:ascii="Times New Roman" w:hAnsi="Times New Roman" w:eastAsia="宋体" w:cs="Times New Roman"/>
                <w:color w:val="auto"/>
                <w:kern w:val="0"/>
                <w:sz w:val="22"/>
                <w:szCs w:val="22"/>
                <w:lang w:val="en-US" w:eastAsia="zh-CN" w:bidi="ar"/>
              </w:rPr>
              <w:t>十六、</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自评与</w:t>
            </w:r>
            <w:r>
              <w:rPr>
                <w:rFonts w:hint="default" w:ascii="Times New Roman" w:hAnsi="Times New Roman" w:eastAsia="宋体" w:cs="Times New Roman"/>
                <w:color w:val="auto"/>
                <w:kern w:val="0"/>
                <w:sz w:val="22"/>
                <w:szCs w:val="22"/>
                <w:lang w:val="en-US" w:eastAsia="zh-CN" w:bidi="ar"/>
              </w:rPr>
              <w:t xml:space="preserve">持续改进 </w:t>
            </w:r>
            <w:r>
              <w:rPr>
                <w:rFonts w:hint="eastAsia" w:ascii="Times New Roman" w:hAnsi="Times New Roman" w:eastAsia="宋体" w:cs="Times New Roman"/>
                <w:color w:val="auto"/>
                <w:kern w:val="0"/>
                <w:sz w:val="22"/>
                <w:szCs w:val="22"/>
                <w:lang w:val="en-US" w:eastAsia="zh-CN" w:bidi="ar"/>
              </w:rPr>
              <w:t>25</w:t>
            </w:r>
            <w:r>
              <w:rPr>
                <w:rFonts w:hint="default" w:ascii="Times New Roman" w:hAnsi="Times New Roman" w:eastAsia="宋体" w:cs="Times New Roman"/>
                <w:color w:val="auto"/>
                <w:kern w:val="0"/>
                <w:sz w:val="22"/>
                <w:szCs w:val="22"/>
                <w:lang w:val="en-US" w:eastAsia="zh-CN" w:bidi="ar"/>
              </w:rPr>
              <w:t>分</w:t>
            </w:r>
          </w:p>
        </w:tc>
        <w:tc>
          <w:tcPr>
            <w:tcW w:w="1041" w:type="dxa"/>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t xml:space="preserve">16.1 </w:t>
            </w:r>
            <w:r>
              <w:rPr>
                <w:rFonts w:hint="eastAsia" w:ascii="Times New Roman" w:hAnsi="Times New Roman" w:eastAsia="宋体" w:cs="Times New Roman"/>
                <w:color w:val="auto"/>
                <w:kern w:val="0"/>
                <w:sz w:val="22"/>
                <w:szCs w:val="22"/>
                <w:lang w:val="en-US" w:eastAsia="zh-CN" w:bidi="ar"/>
              </w:rPr>
              <w:t>自评</w:t>
            </w:r>
            <w:r>
              <w:rPr>
                <w:rFonts w:hint="default" w:ascii="Times New Roman" w:hAnsi="Times New Roman" w:eastAsia="宋体" w:cs="Times New Roman"/>
                <w:color w:val="auto"/>
                <w:kern w:val="0"/>
                <w:sz w:val="22"/>
                <w:szCs w:val="22"/>
                <w:lang w:val="en-US" w:eastAsia="zh-CN" w:bidi="ar"/>
              </w:rPr>
              <w:t xml:space="preserve"> </w:t>
            </w:r>
            <w:r>
              <w:rPr>
                <w:rFonts w:hint="eastAsia" w:ascii="Times New Roman" w:hAnsi="Times New Roman" w:eastAsia="宋体" w:cs="Times New Roman"/>
                <w:color w:val="auto"/>
                <w:kern w:val="0"/>
                <w:sz w:val="22"/>
                <w:szCs w:val="22"/>
                <w:lang w:val="en-US" w:eastAsia="zh-CN" w:bidi="ar"/>
              </w:rPr>
              <w:t>（15</w:t>
            </w:r>
            <w:r>
              <w:rPr>
                <w:rFonts w:hint="default" w:ascii="Times New Roman" w:hAnsi="Times New Roman" w:eastAsia="宋体" w:cs="Times New Roman"/>
                <w:color w:val="auto"/>
                <w:kern w:val="0"/>
                <w:sz w:val="22"/>
                <w:szCs w:val="22"/>
                <w:lang w:val="en-US" w:eastAsia="zh-CN" w:bidi="ar"/>
              </w:rPr>
              <w:t>分</w:t>
            </w:r>
            <w:r>
              <w:rPr>
                <w:rFonts w:hint="eastAsia" w:ascii="Times New Roman" w:hAnsi="Times New Roman" w:eastAsia="宋体" w:cs="Times New Roman"/>
                <w:color w:val="auto"/>
                <w:kern w:val="0"/>
                <w:sz w:val="22"/>
                <w:szCs w:val="22"/>
                <w:lang w:val="en-US" w:eastAsia="zh-CN" w:bidi="ar"/>
              </w:rPr>
              <w:t>）</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1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①</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企业应每年至少一次对本单位安全生产标准化的运行情况进行自评，验证各项安全生产制度措施的适宜性、充分性和有效性</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eastAsia" w:ascii="Times New Roman" w:hAnsi="Times New Roman" w:eastAsia="宋体" w:cs="Times New Roman"/>
                <w:color w:val="auto"/>
                <w:kern w:val="0"/>
                <w:sz w:val="22"/>
                <w:szCs w:val="22"/>
                <w:lang w:val="en-US" w:eastAsia="zh-CN" w:bidi="ar"/>
              </w:rPr>
              <w:t>每年开展安全生产标准化</w:t>
            </w:r>
            <w:r>
              <w:rPr>
                <w:rFonts w:hint="default" w:ascii="Times New Roman" w:hAnsi="Times New Roman" w:eastAsia="宋体" w:cs="Times New Roman"/>
                <w:color w:val="auto"/>
                <w:kern w:val="0"/>
                <w:sz w:val="22"/>
                <w:szCs w:val="22"/>
                <w:lang w:val="en-US" w:eastAsia="zh-CN" w:bidi="ar"/>
              </w:rPr>
              <w:t>自评活</w:t>
            </w:r>
            <w:r>
              <w:rPr>
                <w:rFonts w:hint="eastAsia" w:ascii="Times New Roman" w:hAnsi="Times New Roman" w:eastAsia="宋体" w:cs="Times New Roman"/>
                <w:color w:val="auto"/>
                <w:kern w:val="0"/>
                <w:sz w:val="22"/>
                <w:szCs w:val="22"/>
                <w:lang w:val="en-US" w:eastAsia="zh-CN" w:bidi="ar"/>
              </w:rPr>
              <w:t>，未编制自评报告</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rPr>
            </w:pP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fldChar w:fldCharType="begin"/>
            </w:r>
            <w:r>
              <w:rPr>
                <w:rFonts w:hint="default" w:ascii="Times New Roman" w:hAnsi="Times New Roman" w:eastAsia="宋体" w:cs="Times New Roman"/>
                <w:color w:val="auto"/>
                <w:kern w:val="0"/>
                <w:sz w:val="22"/>
                <w:szCs w:val="22"/>
                <w:lang w:val="en-US" w:eastAsia="zh-CN" w:bidi="ar"/>
              </w:rPr>
              <w:instrText xml:space="preserve"> = 2 \* GB3 \* MERGEFORMAT </w:instrText>
            </w:r>
            <w:r>
              <w:rPr>
                <w:rFonts w:hint="default" w:ascii="Times New Roman" w:hAnsi="Times New Roman" w:eastAsia="宋体" w:cs="Times New Roman"/>
                <w:color w:val="auto"/>
                <w:kern w:val="0"/>
                <w:sz w:val="22"/>
                <w:szCs w:val="22"/>
                <w:lang w:val="en-US" w:eastAsia="zh-CN" w:bidi="ar"/>
              </w:rPr>
              <w:fldChar w:fldCharType="separate"/>
            </w:r>
            <w:r>
              <w:rPr>
                <w:rFonts w:hint="default" w:ascii="Times New Roman" w:hAnsi="Times New Roman" w:eastAsia="宋体" w:cs="Times New Roman"/>
                <w:color w:val="auto"/>
                <w:kern w:val="0"/>
                <w:sz w:val="22"/>
                <w:szCs w:val="22"/>
                <w:lang w:val="en-US" w:eastAsia="zh-CN" w:bidi="ar"/>
              </w:rPr>
              <w:t>②</w:t>
            </w:r>
            <w:r>
              <w:rPr>
                <w:rFonts w:hint="default" w:ascii="Times New Roman" w:hAnsi="Times New Roman" w:eastAsia="宋体" w:cs="Times New Roman"/>
                <w:color w:val="auto"/>
                <w:kern w:val="0"/>
                <w:sz w:val="22"/>
                <w:szCs w:val="22"/>
                <w:lang w:val="en-US" w:eastAsia="zh-CN" w:bidi="ar"/>
              </w:rPr>
              <w:fldChar w:fldCharType="end"/>
            </w:r>
            <w:r>
              <w:rPr>
                <w:rFonts w:hint="default" w:ascii="Times New Roman" w:hAnsi="Times New Roman" w:eastAsia="宋体" w:cs="Times New Roman"/>
                <w:color w:val="auto"/>
                <w:kern w:val="0"/>
                <w:sz w:val="22"/>
                <w:szCs w:val="22"/>
                <w:lang w:val="en-US" w:eastAsia="zh-CN" w:bidi="ar"/>
              </w:rPr>
              <w:t>企业主要负责人应全面负责自评工作。自评应形成正式文件，将结果向所有部门、所属单位和从业人员通报，</w:t>
            </w:r>
            <w:r>
              <w:rPr>
                <w:rFonts w:hint="eastAsia" w:ascii="Times New Roman" w:hAnsi="Times New Roman" w:eastAsia="宋体" w:cs="Times New Roman"/>
                <w:color w:val="auto"/>
                <w:kern w:val="0"/>
                <w:sz w:val="22"/>
                <w:szCs w:val="22"/>
                <w:lang w:val="en-US" w:eastAsia="zh-CN" w:bidi="ar"/>
              </w:rPr>
              <w:t>并上报至交通信息平台。</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安全生产标准化自评工作应由企业主要负责人组织实施，自评结果要经主要负责人确认后向所有部门、所属单位和从业人员通报，并将结果作为年度评价的重要依据</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未提供主要负责人组织实施自评工作的证明材料，</w:t>
            </w:r>
            <w:r>
              <w:rPr>
                <w:rFonts w:hint="eastAsia" w:ascii="Times New Roman" w:hAnsi="Times New Roman" w:eastAsia="宋体" w:cs="Times New Roman"/>
                <w:color w:val="auto"/>
                <w:kern w:val="0"/>
                <w:sz w:val="22"/>
                <w:szCs w:val="22"/>
                <w:lang w:val="en-US" w:eastAsia="zh-CN" w:bidi="ar"/>
              </w:rPr>
              <w:t>不符合</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自评报告内容或自评范围不完整的，</w:t>
            </w:r>
            <w:r>
              <w:rPr>
                <w:rFonts w:hint="eastAsia" w:ascii="Times New Roman" w:hAnsi="Times New Roman" w:eastAsia="宋体" w:cs="Times New Roman"/>
                <w:color w:val="auto"/>
                <w:kern w:val="0"/>
                <w:sz w:val="22"/>
                <w:szCs w:val="22"/>
                <w:lang w:val="en-US" w:eastAsia="zh-CN" w:bidi="ar"/>
              </w:rPr>
              <w:t>不符合</w:t>
            </w:r>
            <w:r>
              <w:rPr>
                <w:rFonts w:hint="default" w:ascii="Times New Roman" w:hAnsi="Times New Roman" w:eastAsia="宋体" w:cs="Times New Roman"/>
                <w:color w:val="auto"/>
                <w:kern w:val="0"/>
                <w:sz w:val="22"/>
                <w:szCs w:val="22"/>
                <w:lang w:val="en-US" w:eastAsia="zh-CN" w:bidi="ar"/>
              </w:rPr>
              <w:t>；</w:t>
            </w:r>
          </w:p>
          <w:p>
            <w:pPr>
              <w:keepNext w:val="0"/>
              <w:keepLines w:val="0"/>
              <w:pageBreakBefore w:val="0"/>
              <w:widowControl/>
              <w:numPr>
                <w:ilvl w:val="0"/>
                <w:numId w:val="31"/>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sz w:val="22"/>
                <w:szCs w:val="22"/>
                <w:lang w:val="en-US"/>
              </w:rPr>
            </w:pPr>
            <w:r>
              <w:rPr>
                <w:rFonts w:hint="default" w:ascii="Times New Roman" w:hAnsi="Times New Roman" w:eastAsia="宋体" w:cs="Times New Roman"/>
                <w:color w:val="auto"/>
                <w:kern w:val="0"/>
                <w:sz w:val="22"/>
                <w:szCs w:val="22"/>
                <w:lang w:val="en-US" w:eastAsia="zh-CN" w:bidi="ar"/>
              </w:rPr>
              <w:t>自评报告</w:t>
            </w:r>
            <w:r>
              <w:rPr>
                <w:rFonts w:hint="eastAsia" w:ascii="Times New Roman" w:hAnsi="Times New Roman" w:eastAsia="宋体" w:cs="Times New Roman"/>
                <w:color w:val="auto"/>
                <w:kern w:val="0"/>
                <w:sz w:val="22"/>
                <w:szCs w:val="22"/>
                <w:lang w:val="en-US" w:eastAsia="zh-CN" w:bidi="ar"/>
              </w:rPr>
              <w:t>未上报至交通信息平台，不符合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auto"/>
          <w:tblCellMar>
            <w:top w:w="15" w:type="dxa"/>
            <w:left w:w="15" w:type="dxa"/>
            <w:bottom w:w="15" w:type="dxa"/>
            <w:right w:w="15" w:type="dxa"/>
          </w:tblCellMar>
        </w:tblPrEx>
        <w:tc>
          <w:tcPr>
            <w:tcW w:w="1007" w:type="dxa"/>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jc w:val="center"/>
              <w:rPr>
                <w:rFonts w:hint="default" w:ascii="Times New Roman" w:hAnsi="Times New Roman" w:eastAsia="宋体" w:cs="Times New Roman"/>
                <w:color w:val="auto"/>
                <w:sz w:val="22"/>
                <w:szCs w:val="22"/>
              </w:rPr>
            </w:pPr>
          </w:p>
        </w:tc>
        <w:tc>
          <w:tcPr>
            <w:tcW w:w="10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80" w:lineRule="exact"/>
              <w:rPr>
                <w:rFonts w:hint="default" w:ascii="Times New Roman" w:hAnsi="Times New Roman" w:eastAsia="宋体" w:cs="Times New Roman"/>
                <w:color w:val="auto"/>
                <w:sz w:val="22"/>
                <w:szCs w:val="22"/>
                <w:lang w:val="en-US" w:eastAsia="zh-CN"/>
              </w:rPr>
            </w:pPr>
            <w:r>
              <w:rPr>
                <w:rFonts w:hint="eastAsia" w:ascii="Times New Roman" w:hAnsi="Times New Roman" w:eastAsia="宋体" w:cs="Times New Roman"/>
                <w:color w:val="auto"/>
                <w:sz w:val="22"/>
                <w:szCs w:val="22"/>
                <w:lang w:val="en-US" w:eastAsia="zh-CN"/>
              </w:rPr>
              <w:t>16.2持续改进（10分）</w:t>
            </w:r>
            <w:r>
              <w:rPr>
                <w:rFonts w:hint="default" w:ascii="Times New Roman" w:hAnsi="Times New Roman" w:eastAsia="宋体" w:cs="Times New Roman"/>
                <w:color w:val="auto"/>
                <w:kern w:val="0"/>
                <w:sz w:val="22"/>
                <w:szCs w:val="22"/>
                <w:lang w:val="en-US" w:eastAsia="zh-CN" w:bidi="ar"/>
              </w:rPr>
              <w:t xml:space="preserve"> </w:t>
            </w:r>
          </w:p>
        </w:tc>
        <w:tc>
          <w:tcPr>
            <w:tcW w:w="241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根据企业安全管理现状，</w:t>
            </w:r>
            <w:r>
              <w:rPr>
                <w:rFonts w:hint="default" w:ascii="Times New Roman" w:hAnsi="Times New Roman" w:eastAsia="宋体" w:cs="Times New Roman"/>
                <w:color w:val="auto"/>
                <w:kern w:val="0"/>
                <w:sz w:val="22"/>
                <w:szCs w:val="22"/>
                <w:lang w:val="en-US" w:eastAsia="zh-CN" w:bidi="ar"/>
              </w:rPr>
              <w:t>客观分析安全生产标准化管理体系的运行质量，及时调整完善安全生产目标、指标、规章制度、操作规程等相关管理文件和过程管控，持续改进</w:t>
            </w:r>
            <w:r>
              <w:rPr>
                <w:rFonts w:hint="eastAsia" w:ascii="Times New Roman" w:hAnsi="Times New Roman" w:eastAsia="宋体" w:cs="Times New Roman"/>
                <w:color w:val="auto"/>
                <w:kern w:val="0"/>
                <w:sz w:val="22"/>
                <w:szCs w:val="22"/>
                <w:lang w:val="en-US" w:eastAsia="zh-CN" w:bidi="ar"/>
              </w:rPr>
              <w:t>，</w:t>
            </w:r>
            <w:r>
              <w:rPr>
                <w:rFonts w:hint="default" w:ascii="Times New Roman" w:hAnsi="Times New Roman" w:eastAsia="宋体" w:cs="Times New Roman"/>
                <w:color w:val="auto"/>
                <w:kern w:val="0"/>
                <w:sz w:val="22"/>
                <w:szCs w:val="22"/>
                <w:lang w:val="en-US" w:eastAsia="zh-CN" w:bidi="ar"/>
              </w:rPr>
              <w:t>不断提高安全生产绩效</w:t>
            </w:r>
          </w:p>
        </w:tc>
        <w:tc>
          <w:tcPr>
            <w:tcW w:w="334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eastAsia"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安全生产标准化管理综合评价与改进工作，一般安排在年度自评以后，对考评情况进行综合分析评定</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1173"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rPr>
                <w:rFonts w:hint="default" w:ascii="Times New Roman" w:hAnsi="Times New Roman" w:eastAsia="宋体" w:cs="Times New Roman"/>
                <w:color w:val="auto"/>
                <w:kern w:val="0"/>
                <w:sz w:val="22"/>
                <w:szCs w:val="22"/>
                <w:lang w:val="en-US" w:eastAsia="zh-CN" w:bidi="ar"/>
              </w:rPr>
            </w:pPr>
            <w:r>
              <w:rPr>
                <w:rFonts w:hint="eastAsia" w:ascii="Times New Roman" w:hAnsi="Times New Roman" w:eastAsia="宋体" w:cs="Times New Roman"/>
                <w:color w:val="auto"/>
                <w:kern w:val="0"/>
                <w:sz w:val="22"/>
                <w:szCs w:val="22"/>
                <w:lang w:val="en-US" w:eastAsia="zh-CN" w:bidi="ar"/>
              </w:rPr>
              <w:t>10★</w:t>
            </w:r>
          </w:p>
        </w:tc>
        <w:tc>
          <w:tcPr>
            <w:tcW w:w="254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r>
              <w:rPr>
                <w:rFonts w:hint="default" w:ascii="Times New Roman" w:hAnsi="Times New Roman" w:eastAsia="宋体" w:cs="Times New Roman"/>
                <w:color w:val="auto"/>
                <w:kern w:val="0"/>
                <w:sz w:val="22"/>
                <w:szCs w:val="22"/>
                <w:lang w:val="en-US" w:eastAsia="zh-CN" w:bidi="ar"/>
              </w:rPr>
              <w:t>未对</w:t>
            </w:r>
            <w:r>
              <w:rPr>
                <w:rFonts w:hint="eastAsia" w:ascii="Times New Roman" w:hAnsi="Times New Roman" w:eastAsia="宋体" w:cs="Times New Roman"/>
                <w:color w:val="auto"/>
                <w:kern w:val="0"/>
                <w:sz w:val="22"/>
                <w:szCs w:val="22"/>
                <w:lang w:val="en-US" w:eastAsia="zh-CN" w:bidi="ar"/>
              </w:rPr>
              <w:t>自评提</w:t>
            </w:r>
            <w:r>
              <w:rPr>
                <w:rFonts w:hint="default" w:ascii="Times New Roman" w:hAnsi="Times New Roman" w:eastAsia="宋体" w:cs="Times New Roman"/>
                <w:color w:val="auto"/>
                <w:kern w:val="0"/>
                <w:sz w:val="22"/>
                <w:szCs w:val="22"/>
                <w:lang w:val="en-US" w:eastAsia="zh-CN" w:bidi="ar"/>
              </w:rPr>
              <w:t>出的问题</w:t>
            </w:r>
            <w:r>
              <w:rPr>
                <w:rFonts w:hint="eastAsia" w:ascii="Times New Roman" w:hAnsi="Times New Roman" w:eastAsia="宋体" w:cs="Times New Roman"/>
                <w:color w:val="auto"/>
                <w:kern w:val="0"/>
                <w:sz w:val="22"/>
                <w:szCs w:val="22"/>
                <w:lang w:val="en-US" w:eastAsia="zh-CN" w:bidi="ar"/>
              </w:rPr>
              <w:t>制定</w:t>
            </w:r>
            <w:r>
              <w:rPr>
                <w:rFonts w:hint="default" w:ascii="Times New Roman" w:hAnsi="Times New Roman" w:eastAsia="宋体" w:cs="Times New Roman"/>
                <w:color w:val="auto"/>
                <w:kern w:val="0"/>
                <w:sz w:val="22"/>
                <w:szCs w:val="22"/>
                <w:lang w:val="en-US" w:eastAsia="zh-CN" w:bidi="ar"/>
              </w:rPr>
              <w:t>整改措施并</w:t>
            </w:r>
            <w:r>
              <w:rPr>
                <w:rFonts w:hint="eastAsia" w:ascii="Times New Roman" w:hAnsi="Times New Roman" w:eastAsia="宋体" w:cs="Times New Roman"/>
                <w:color w:val="auto"/>
                <w:kern w:val="0"/>
                <w:sz w:val="22"/>
                <w:szCs w:val="22"/>
                <w:lang w:val="en-US" w:eastAsia="zh-CN" w:bidi="ar"/>
              </w:rPr>
              <w:t>落实整改</w:t>
            </w:r>
            <w:r>
              <w:rPr>
                <w:rFonts w:hint="default" w:ascii="Times New Roman" w:hAnsi="Times New Roman" w:eastAsia="宋体" w:cs="Times New Roman"/>
                <w:color w:val="auto"/>
                <w:kern w:val="0"/>
                <w:sz w:val="22"/>
                <w:szCs w:val="22"/>
                <w:lang w:val="en-US" w:eastAsia="zh-CN" w:bidi="ar"/>
              </w:rPr>
              <w:t>，</w:t>
            </w:r>
            <w:r>
              <w:rPr>
                <w:rFonts w:hint="eastAsia" w:ascii="Times New Roman" w:hAnsi="Times New Roman" w:eastAsia="宋体" w:cs="Times New Roman"/>
                <w:color w:val="auto"/>
                <w:kern w:val="0"/>
                <w:sz w:val="22"/>
                <w:szCs w:val="22"/>
                <w:lang w:val="en-US" w:eastAsia="zh-CN" w:bidi="ar"/>
              </w:rPr>
              <w:t>并持续改进，不符合。</w:t>
            </w:r>
          </w:p>
        </w:tc>
        <w:tc>
          <w:tcPr>
            <w:tcW w:w="1392"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c>
          <w:tcPr>
            <w:tcW w:w="1231" w:type="dxa"/>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rPr>
                <w:rFonts w:hint="default" w:ascii="Times New Roman" w:hAnsi="Times New Roman" w:eastAsia="宋体" w:cs="Times New Roman"/>
                <w:color w:val="auto"/>
                <w:kern w:val="0"/>
                <w:sz w:val="22"/>
                <w:szCs w:val="22"/>
                <w:lang w:val="en-US" w:eastAsia="zh-CN" w:bidi="ar"/>
              </w:rPr>
            </w:pPr>
          </w:p>
        </w:tc>
      </w:tr>
    </w:tbl>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roma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Tahoma">
    <w:altName w:val="DejaVu Sans"/>
    <w:panose1 w:val="020B0604030504040204"/>
    <w:charset w:val="00"/>
    <w:family w:val="auto"/>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7A849"/>
    <w:multiLevelType w:val="singleLevel"/>
    <w:tmpl w:val="8527A849"/>
    <w:lvl w:ilvl="0" w:tentative="0">
      <w:start w:val="1"/>
      <w:numFmt w:val="decimal"/>
      <w:lvlText w:val="%1."/>
      <w:lvlJc w:val="left"/>
      <w:pPr>
        <w:tabs>
          <w:tab w:val="left" w:pos="312"/>
        </w:tabs>
      </w:pPr>
    </w:lvl>
  </w:abstractNum>
  <w:abstractNum w:abstractNumId="1">
    <w:nsid w:val="8ECE7C1A"/>
    <w:multiLevelType w:val="singleLevel"/>
    <w:tmpl w:val="8ECE7C1A"/>
    <w:lvl w:ilvl="0" w:tentative="0">
      <w:start w:val="1"/>
      <w:numFmt w:val="decimal"/>
      <w:lvlText w:val="%1."/>
      <w:lvlJc w:val="left"/>
      <w:pPr>
        <w:tabs>
          <w:tab w:val="left" w:pos="312"/>
        </w:tabs>
      </w:pPr>
    </w:lvl>
  </w:abstractNum>
  <w:abstractNum w:abstractNumId="2">
    <w:nsid w:val="8FF697A8"/>
    <w:multiLevelType w:val="singleLevel"/>
    <w:tmpl w:val="8FF697A8"/>
    <w:lvl w:ilvl="0" w:tentative="0">
      <w:start w:val="1"/>
      <w:numFmt w:val="decimal"/>
      <w:lvlText w:val="%1."/>
      <w:lvlJc w:val="left"/>
      <w:pPr>
        <w:tabs>
          <w:tab w:val="left" w:pos="312"/>
        </w:tabs>
      </w:pPr>
    </w:lvl>
  </w:abstractNum>
  <w:abstractNum w:abstractNumId="3">
    <w:nsid w:val="91E260E6"/>
    <w:multiLevelType w:val="singleLevel"/>
    <w:tmpl w:val="91E260E6"/>
    <w:lvl w:ilvl="0" w:tentative="0">
      <w:start w:val="1"/>
      <w:numFmt w:val="decimal"/>
      <w:lvlText w:val="%1."/>
      <w:lvlJc w:val="left"/>
      <w:pPr>
        <w:tabs>
          <w:tab w:val="left" w:pos="312"/>
        </w:tabs>
      </w:pPr>
    </w:lvl>
  </w:abstractNum>
  <w:abstractNum w:abstractNumId="4">
    <w:nsid w:val="9DFF12CF"/>
    <w:multiLevelType w:val="singleLevel"/>
    <w:tmpl w:val="9DFF12CF"/>
    <w:lvl w:ilvl="0" w:tentative="0">
      <w:start w:val="1"/>
      <w:numFmt w:val="decimal"/>
      <w:lvlText w:val="%1."/>
      <w:lvlJc w:val="left"/>
      <w:pPr>
        <w:tabs>
          <w:tab w:val="left" w:pos="312"/>
        </w:tabs>
      </w:pPr>
    </w:lvl>
  </w:abstractNum>
  <w:abstractNum w:abstractNumId="5">
    <w:nsid w:val="9F59CCEA"/>
    <w:multiLevelType w:val="singleLevel"/>
    <w:tmpl w:val="9F59CCEA"/>
    <w:lvl w:ilvl="0" w:tentative="0">
      <w:start w:val="1"/>
      <w:numFmt w:val="decimal"/>
      <w:lvlText w:val="%1."/>
      <w:lvlJc w:val="left"/>
      <w:pPr>
        <w:tabs>
          <w:tab w:val="left" w:pos="312"/>
        </w:tabs>
      </w:pPr>
    </w:lvl>
  </w:abstractNum>
  <w:abstractNum w:abstractNumId="6">
    <w:nsid w:val="A38E7836"/>
    <w:multiLevelType w:val="singleLevel"/>
    <w:tmpl w:val="A38E7836"/>
    <w:lvl w:ilvl="0" w:tentative="0">
      <w:start w:val="1"/>
      <w:numFmt w:val="decimal"/>
      <w:lvlText w:val="%1."/>
      <w:lvlJc w:val="left"/>
      <w:pPr>
        <w:tabs>
          <w:tab w:val="left" w:pos="312"/>
        </w:tabs>
      </w:pPr>
    </w:lvl>
  </w:abstractNum>
  <w:abstractNum w:abstractNumId="7">
    <w:nsid w:val="A439D675"/>
    <w:multiLevelType w:val="singleLevel"/>
    <w:tmpl w:val="A439D675"/>
    <w:lvl w:ilvl="0" w:tentative="0">
      <w:start w:val="1"/>
      <w:numFmt w:val="decimal"/>
      <w:lvlText w:val="%1."/>
      <w:lvlJc w:val="left"/>
      <w:pPr>
        <w:tabs>
          <w:tab w:val="left" w:pos="312"/>
        </w:tabs>
      </w:pPr>
    </w:lvl>
  </w:abstractNum>
  <w:abstractNum w:abstractNumId="8">
    <w:nsid w:val="B198C083"/>
    <w:multiLevelType w:val="singleLevel"/>
    <w:tmpl w:val="B198C083"/>
    <w:lvl w:ilvl="0" w:tentative="0">
      <w:start w:val="1"/>
      <w:numFmt w:val="decimal"/>
      <w:lvlText w:val="%1."/>
      <w:lvlJc w:val="left"/>
      <w:pPr>
        <w:tabs>
          <w:tab w:val="left" w:pos="312"/>
        </w:tabs>
      </w:pPr>
    </w:lvl>
  </w:abstractNum>
  <w:abstractNum w:abstractNumId="9">
    <w:nsid w:val="BCFF3AB2"/>
    <w:multiLevelType w:val="singleLevel"/>
    <w:tmpl w:val="BCFF3AB2"/>
    <w:lvl w:ilvl="0" w:tentative="0">
      <w:start w:val="1"/>
      <w:numFmt w:val="decimal"/>
      <w:lvlText w:val="%1."/>
      <w:lvlJc w:val="left"/>
      <w:pPr>
        <w:tabs>
          <w:tab w:val="left" w:pos="312"/>
        </w:tabs>
      </w:pPr>
    </w:lvl>
  </w:abstractNum>
  <w:abstractNum w:abstractNumId="10">
    <w:nsid w:val="BF9D1549"/>
    <w:multiLevelType w:val="singleLevel"/>
    <w:tmpl w:val="BF9D1549"/>
    <w:lvl w:ilvl="0" w:tentative="0">
      <w:start w:val="1"/>
      <w:numFmt w:val="decimal"/>
      <w:lvlText w:val="%1."/>
      <w:lvlJc w:val="left"/>
      <w:pPr>
        <w:tabs>
          <w:tab w:val="left" w:pos="312"/>
        </w:tabs>
      </w:pPr>
    </w:lvl>
  </w:abstractNum>
  <w:abstractNum w:abstractNumId="11">
    <w:nsid w:val="C9D47727"/>
    <w:multiLevelType w:val="singleLevel"/>
    <w:tmpl w:val="C9D47727"/>
    <w:lvl w:ilvl="0" w:tentative="0">
      <w:start w:val="1"/>
      <w:numFmt w:val="decimal"/>
      <w:lvlText w:val="%1."/>
      <w:lvlJc w:val="left"/>
      <w:pPr>
        <w:tabs>
          <w:tab w:val="left" w:pos="312"/>
        </w:tabs>
      </w:pPr>
    </w:lvl>
  </w:abstractNum>
  <w:abstractNum w:abstractNumId="12">
    <w:nsid w:val="D0E08EE3"/>
    <w:multiLevelType w:val="singleLevel"/>
    <w:tmpl w:val="D0E08EE3"/>
    <w:lvl w:ilvl="0" w:tentative="0">
      <w:start w:val="1"/>
      <w:numFmt w:val="decimal"/>
      <w:lvlText w:val="%1."/>
      <w:lvlJc w:val="left"/>
      <w:pPr>
        <w:tabs>
          <w:tab w:val="left" w:pos="312"/>
        </w:tabs>
      </w:pPr>
    </w:lvl>
  </w:abstractNum>
  <w:abstractNum w:abstractNumId="13">
    <w:nsid w:val="E3045E17"/>
    <w:multiLevelType w:val="singleLevel"/>
    <w:tmpl w:val="E3045E17"/>
    <w:lvl w:ilvl="0" w:tentative="0">
      <w:start w:val="1"/>
      <w:numFmt w:val="decimal"/>
      <w:lvlText w:val="%1."/>
      <w:lvlJc w:val="left"/>
      <w:pPr>
        <w:tabs>
          <w:tab w:val="left" w:pos="312"/>
        </w:tabs>
      </w:pPr>
    </w:lvl>
  </w:abstractNum>
  <w:abstractNum w:abstractNumId="14">
    <w:nsid w:val="E382A513"/>
    <w:multiLevelType w:val="singleLevel"/>
    <w:tmpl w:val="E382A513"/>
    <w:lvl w:ilvl="0" w:tentative="0">
      <w:start w:val="1"/>
      <w:numFmt w:val="decimal"/>
      <w:lvlText w:val="%1."/>
      <w:lvlJc w:val="left"/>
      <w:pPr>
        <w:tabs>
          <w:tab w:val="left" w:pos="312"/>
        </w:tabs>
      </w:pPr>
    </w:lvl>
  </w:abstractNum>
  <w:abstractNum w:abstractNumId="15">
    <w:nsid w:val="EB9A9218"/>
    <w:multiLevelType w:val="singleLevel"/>
    <w:tmpl w:val="EB9A9218"/>
    <w:lvl w:ilvl="0" w:tentative="0">
      <w:start w:val="1"/>
      <w:numFmt w:val="decimal"/>
      <w:lvlText w:val="%1."/>
      <w:lvlJc w:val="left"/>
      <w:pPr>
        <w:tabs>
          <w:tab w:val="left" w:pos="312"/>
        </w:tabs>
      </w:pPr>
    </w:lvl>
  </w:abstractNum>
  <w:abstractNum w:abstractNumId="16">
    <w:nsid w:val="ED14F942"/>
    <w:multiLevelType w:val="singleLevel"/>
    <w:tmpl w:val="ED14F942"/>
    <w:lvl w:ilvl="0" w:tentative="0">
      <w:start w:val="1"/>
      <w:numFmt w:val="decimal"/>
      <w:lvlText w:val="%1."/>
      <w:lvlJc w:val="left"/>
      <w:pPr>
        <w:tabs>
          <w:tab w:val="left" w:pos="312"/>
        </w:tabs>
      </w:pPr>
    </w:lvl>
  </w:abstractNum>
  <w:abstractNum w:abstractNumId="17">
    <w:nsid w:val="F8EB97FE"/>
    <w:multiLevelType w:val="singleLevel"/>
    <w:tmpl w:val="F8EB97FE"/>
    <w:lvl w:ilvl="0" w:tentative="0">
      <w:start w:val="1"/>
      <w:numFmt w:val="decimal"/>
      <w:lvlText w:val="%1."/>
      <w:lvlJc w:val="left"/>
      <w:pPr>
        <w:tabs>
          <w:tab w:val="left" w:pos="312"/>
        </w:tabs>
      </w:pPr>
    </w:lvl>
  </w:abstractNum>
  <w:abstractNum w:abstractNumId="18">
    <w:nsid w:val="FE3A8CB6"/>
    <w:multiLevelType w:val="singleLevel"/>
    <w:tmpl w:val="FE3A8CB6"/>
    <w:lvl w:ilvl="0" w:tentative="0">
      <w:start w:val="1"/>
      <w:numFmt w:val="decimal"/>
      <w:lvlText w:val="%1."/>
      <w:lvlJc w:val="left"/>
      <w:pPr>
        <w:tabs>
          <w:tab w:val="left" w:pos="312"/>
        </w:tabs>
      </w:pPr>
    </w:lvl>
  </w:abstractNum>
  <w:abstractNum w:abstractNumId="19">
    <w:nsid w:val="FF569A60"/>
    <w:multiLevelType w:val="singleLevel"/>
    <w:tmpl w:val="FF569A60"/>
    <w:lvl w:ilvl="0" w:tentative="0">
      <w:start w:val="1"/>
      <w:numFmt w:val="decimal"/>
      <w:lvlText w:val="%1."/>
      <w:lvlJc w:val="left"/>
      <w:pPr>
        <w:tabs>
          <w:tab w:val="left" w:pos="312"/>
        </w:tabs>
      </w:pPr>
    </w:lvl>
  </w:abstractNum>
  <w:abstractNum w:abstractNumId="20">
    <w:nsid w:val="FFBF94DC"/>
    <w:multiLevelType w:val="singleLevel"/>
    <w:tmpl w:val="FFBF94DC"/>
    <w:lvl w:ilvl="0" w:tentative="0">
      <w:start w:val="1"/>
      <w:numFmt w:val="decimal"/>
      <w:lvlText w:val="%1."/>
      <w:lvlJc w:val="left"/>
      <w:pPr>
        <w:tabs>
          <w:tab w:val="left" w:pos="312"/>
        </w:tabs>
      </w:pPr>
    </w:lvl>
  </w:abstractNum>
  <w:abstractNum w:abstractNumId="21">
    <w:nsid w:val="0E7D35D8"/>
    <w:multiLevelType w:val="singleLevel"/>
    <w:tmpl w:val="0E7D35D8"/>
    <w:lvl w:ilvl="0" w:tentative="0">
      <w:start w:val="1"/>
      <w:numFmt w:val="decimal"/>
      <w:lvlText w:val="%1."/>
      <w:lvlJc w:val="left"/>
      <w:pPr>
        <w:tabs>
          <w:tab w:val="left" w:pos="312"/>
        </w:tabs>
      </w:pPr>
    </w:lvl>
  </w:abstractNum>
  <w:abstractNum w:abstractNumId="22">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37"/>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6"/>
      <w:suff w:val="nothing"/>
      <w:lvlText w:val="%1.%2.%3　"/>
      <w:lvlJc w:val="left"/>
      <w:pPr>
        <w:ind w:left="426"/>
      </w:pPr>
      <w:rPr>
        <w:rFonts w:hint="eastAsia" w:ascii="黑体" w:hAnsi="Times New Roman" w:eastAsia="黑体" w:cs="Times New Roman"/>
        <w:b w:val="0"/>
        <w:i w:val="0"/>
        <w:sz w:val="21"/>
      </w:rPr>
    </w:lvl>
    <w:lvl w:ilvl="3" w:tentative="0">
      <w:start w:val="1"/>
      <w:numFmt w:val="decimal"/>
      <w:pStyle w:val="35"/>
      <w:suff w:val="nothing"/>
      <w:lvlText w:val="%1.%2.%3.%4　"/>
      <w:lvlJc w:val="left"/>
      <w:pPr>
        <w:ind w:left="709"/>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3">
    <w:nsid w:val="37A747B0"/>
    <w:multiLevelType w:val="singleLevel"/>
    <w:tmpl w:val="37A747B0"/>
    <w:lvl w:ilvl="0" w:tentative="0">
      <w:start w:val="1"/>
      <w:numFmt w:val="lowerLetter"/>
      <w:lvlText w:val="%1."/>
      <w:lvlJc w:val="left"/>
      <w:pPr>
        <w:ind w:left="425" w:hanging="425"/>
      </w:pPr>
      <w:rPr>
        <w:rFonts w:hint="default"/>
      </w:rPr>
    </w:lvl>
  </w:abstractNum>
  <w:abstractNum w:abstractNumId="24">
    <w:nsid w:val="3A168214"/>
    <w:multiLevelType w:val="singleLevel"/>
    <w:tmpl w:val="3A168214"/>
    <w:lvl w:ilvl="0" w:tentative="0">
      <w:start w:val="1"/>
      <w:numFmt w:val="decimal"/>
      <w:lvlText w:val="%1."/>
      <w:lvlJc w:val="left"/>
      <w:pPr>
        <w:tabs>
          <w:tab w:val="left" w:pos="312"/>
        </w:tabs>
      </w:pPr>
    </w:lvl>
  </w:abstractNum>
  <w:abstractNum w:abstractNumId="25">
    <w:nsid w:val="3CFE3E3E"/>
    <w:multiLevelType w:val="singleLevel"/>
    <w:tmpl w:val="3CFE3E3E"/>
    <w:lvl w:ilvl="0" w:tentative="0">
      <w:start w:val="1"/>
      <w:numFmt w:val="decimal"/>
      <w:suff w:val="space"/>
      <w:lvlText w:val="%1."/>
      <w:lvlJc w:val="left"/>
    </w:lvl>
  </w:abstractNum>
  <w:abstractNum w:abstractNumId="26">
    <w:nsid w:val="6CEA2025"/>
    <w:multiLevelType w:val="multilevel"/>
    <w:tmpl w:val="6CEA2025"/>
    <w:lvl w:ilvl="0" w:tentative="0">
      <w:start w:val="1"/>
      <w:numFmt w:val="none"/>
      <w:pStyle w:val="38"/>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15" w:firstLine="0"/>
      </w:pPr>
      <w:rPr>
        <w:rFonts w:hint="eastAsia" w:ascii="黑体" w:hAnsi="Times New Roman" w:eastAsia="黑体"/>
        <w:b w:val="0"/>
        <w:i w:val="0"/>
        <w:sz w:val="21"/>
      </w:rPr>
    </w:lvl>
    <w:lvl w:ilvl="2" w:tentative="0">
      <w:start w:val="1"/>
      <w:numFmt w:val="decimal"/>
      <w:suff w:val="nothing"/>
      <w:lvlText w:val="%1%2.%3　"/>
      <w:lvlJc w:val="left"/>
      <w:pPr>
        <w:ind w:left="630" w:firstLine="0"/>
      </w:pPr>
      <w:rPr>
        <w:rFonts w:hint="eastAsia" w:ascii="黑体" w:hAnsi="Times New Roman" w:eastAsia="黑体"/>
        <w:b w:val="0"/>
        <w:i w:val="0"/>
        <w:color w:val="auto"/>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75DBC556"/>
    <w:multiLevelType w:val="singleLevel"/>
    <w:tmpl w:val="75DBC556"/>
    <w:lvl w:ilvl="0" w:tentative="0">
      <w:start w:val="1"/>
      <w:numFmt w:val="decimal"/>
      <w:lvlText w:val="%1."/>
      <w:lvlJc w:val="left"/>
      <w:pPr>
        <w:tabs>
          <w:tab w:val="left" w:pos="312"/>
        </w:tabs>
      </w:pPr>
    </w:lvl>
  </w:abstractNum>
  <w:abstractNum w:abstractNumId="28">
    <w:nsid w:val="78A744FB"/>
    <w:multiLevelType w:val="singleLevel"/>
    <w:tmpl w:val="78A744FB"/>
    <w:lvl w:ilvl="0" w:tentative="0">
      <w:start w:val="1"/>
      <w:numFmt w:val="decimal"/>
      <w:lvlText w:val="%1."/>
      <w:lvlJc w:val="left"/>
      <w:pPr>
        <w:tabs>
          <w:tab w:val="left" w:pos="312"/>
        </w:tabs>
      </w:pPr>
    </w:lvl>
  </w:abstractNum>
  <w:abstractNum w:abstractNumId="29">
    <w:nsid w:val="798D02AC"/>
    <w:multiLevelType w:val="singleLevel"/>
    <w:tmpl w:val="798D02AC"/>
    <w:lvl w:ilvl="0" w:tentative="0">
      <w:start w:val="1"/>
      <w:numFmt w:val="decimal"/>
      <w:lvlText w:val="%1."/>
      <w:lvlJc w:val="left"/>
      <w:pPr>
        <w:tabs>
          <w:tab w:val="left" w:pos="312"/>
        </w:tabs>
      </w:pPr>
    </w:lvl>
  </w:abstractNum>
  <w:abstractNum w:abstractNumId="30">
    <w:nsid w:val="7D4BC680"/>
    <w:multiLevelType w:val="singleLevel"/>
    <w:tmpl w:val="7D4BC680"/>
    <w:lvl w:ilvl="0" w:tentative="0">
      <w:start w:val="1"/>
      <w:numFmt w:val="decimal"/>
      <w:lvlText w:val="%1."/>
      <w:lvlJc w:val="left"/>
      <w:pPr>
        <w:tabs>
          <w:tab w:val="left" w:pos="312"/>
        </w:tabs>
      </w:pPr>
    </w:lvl>
  </w:abstractNum>
  <w:num w:numId="1">
    <w:abstractNumId w:val="22"/>
  </w:num>
  <w:num w:numId="2">
    <w:abstractNumId w:val="26"/>
  </w:num>
  <w:num w:numId="3">
    <w:abstractNumId w:val="12"/>
  </w:num>
  <w:num w:numId="4">
    <w:abstractNumId w:val="15"/>
  </w:num>
  <w:num w:numId="5">
    <w:abstractNumId w:val="28"/>
  </w:num>
  <w:num w:numId="6">
    <w:abstractNumId w:val="30"/>
  </w:num>
  <w:num w:numId="7">
    <w:abstractNumId w:val="23"/>
  </w:num>
  <w:num w:numId="8">
    <w:abstractNumId w:val="24"/>
  </w:num>
  <w:num w:numId="9">
    <w:abstractNumId w:val="11"/>
  </w:num>
  <w:num w:numId="10">
    <w:abstractNumId w:val="29"/>
  </w:num>
  <w:num w:numId="11">
    <w:abstractNumId w:val="9"/>
  </w:num>
  <w:num w:numId="12">
    <w:abstractNumId w:val="5"/>
  </w:num>
  <w:num w:numId="13">
    <w:abstractNumId w:val="21"/>
  </w:num>
  <w:num w:numId="14">
    <w:abstractNumId w:val="10"/>
  </w:num>
  <w:num w:numId="15">
    <w:abstractNumId w:val="17"/>
  </w:num>
  <w:num w:numId="16">
    <w:abstractNumId w:val="8"/>
  </w:num>
  <w:num w:numId="17">
    <w:abstractNumId w:val="0"/>
  </w:num>
  <w:num w:numId="18">
    <w:abstractNumId w:val="25"/>
  </w:num>
  <w:num w:numId="19">
    <w:abstractNumId w:val="16"/>
  </w:num>
  <w:num w:numId="20">
    <w:abstractNumId w:val="7"/>
  </w:num>
  <w:num w:numId="21">
    <w:abstractNumId w:val="27"/>
  </w:num>
  <w:num w:numId="22">
    <w:abstractNumId w:val="6"/>
  </w:num>
  <w:num w:numId="23">
    <w:abstractNumId w:val="13"/>
  </w:num>
  <w:num w:numId="24">
    <w:abstractNumId w:val="19"/>
  </w:num>
  <w:num w:numId="25">
    <w:abstractNumId w:val="4"/>
  </w:num>
  <w:num w:numId="26">
    <w:abstractNumId w:val="18"/>
  </w:num>
  <w:num w:numId="27">
    <w:abstractNumId w:val="1"/>
  </w:num>
  <w:num w:numId="28">
    <w:abstractNumId w:val="20"/>
  </w:num>
  <w:num w:numId="29">
    <w:abstractNumId w:val="3"/>
  </w:num>
  <w:num w:numId="30">
    <w:abstractNumId w:val="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6990BE6"/>
    <w:rsid w:val="00072696"/>
    <w:rsid w:val="003577A2"/>
    <w:rsid w:val="006B0377"/>
    <w:rsid w:val="01150B21"/>
    <w:rsid w:val="012531F6"/>
    <w:rsid w:val="01325C36"/>
    <w:rsid w:val="01361677"/>
    <w:rsid w:val="019D0730"/>
    <w:rsid w:val="01A324E9"/>
    <w:rsid w:val="01CD4D80"/>
    <w:rsid w:val="02080F1A"/>
    <w:rsid w:val="02160F0D"/>
    <w:rsid w:val="021F6013"/>
    <w:rsid w:val="021F6FC3"/>
    <w:rsid w:val="022634AB"/>
    <w:rsid w:val="02361677"/>
    <w:rsid w:val="023A7CBD"/>
    <w:rsid w:val="024261A6"/>
    <w:rsid w:val="02760CA4"/>
    <w:rsid w:val="027E09D4"/>
    <w:rsid w:val="02C46BBB"/>
    <w:rsid w:val="02EE59E6"/>
    <w:rsid w:val="03685798"/>
    <w:rsid w:val="037405E1"/>
    <w:rsid w:val="03910EAA"/>
    <w:rsid w:val="03CC21CB"/>
    <w:rsid w:val="03F434D0"/>
    <w:rsid w:val="03F86598"/>
    <w:rsid w:val="040D7A92"/>
    <w:rsid w:val="0415771B"/>
    <w:rsid w:val="042B0FEC"/>
    <w:rsid w:val="049F343C"/>
    <w:rsid w:val="04A42800"/>
    <w:rsid w:val="04E4640D"/>
    <w:rsid w:val="04F27A0F"/>
    <w:rsid w:val="05096B07"/>
    <w:rsid w:val="05482261"/>
    <w:rsid w:val="05BE041F"/>
    <w:rsid w:val="05FD1494"/>
    <w:rsid w:val="0637762C"/>
    <w:rsid w:val="067601CC"/>
    <w:rsid w:val="069246D4"/>
    <w:rsid w:val="06952D48"/>
    <w:rsid w:val="06B932D6"/>
    <w:rsid w:val="07B436A2"/>
    <w:rsid w:val="07CA0D41"/>
    <w:rsid w:val="07D478A0"/>
    <w:rsid w:val="07DE427B"/>
    <w:rsid w:val="08145EEF"/>
    <w:rsid w:val="08346563"/>
    <w:rsid w:val="08713341"/>
    <w:rsid w:val="088E5CA1"/>
    <w:rsid w:val="08F04266"/>
    <w:rsid w:val="09102B5A"/>
    <w:rsid w:val="091D0DD3"/>
    <w:rsid w:val="09402CE6"/>
    <w:rsid w:val="09532A47"/>
    <w:rsid w:val="097B5A0D"/>
    <w:rsid w:val="09AD2157"/>
    <w:rsid w:val="09E27152"/>
    <w:rsid w:val="09F616C1"/>
    <w:rsid w:val="0A254D41"/>
    <w:rsid w:val="0A342878"/>
    <w:rsid w:val="0A374116"/>
    <w:rsid w:val="0A560A40"/>
    <w:rsid w:val="0A59772B"/>
    <w:rsid w:val="0A611922"/>
    <w:rsid w:val="0A887803"/>
    <w:rsid w:val="0A8C6F70"/>
    <w:rsid w:val="0AE443A4"/>
    <w:rsid w:val="0AF618DB"/>
    <w:rsid w:val="0BA548A2"/>
    <w:rsid w:val="0BE45BD8"/>
    <w:rsid w:val="0C0E7B0E"/>
    <w:rsid w:val="0C536A10"/>
    <w:rsid w:val="0C9223E1"/>
    <w:rsid w:val="0C9C5FF3"/>
    <w:rsid w:val="0CEC11E8"/>
    <w:rsid w:val="0CF167FE"/>
    <w:rsid w:val="0D4E2F37"/>
    <w:rsid w:val="0D837D9E"/>
    <w:rsid w:val="0DA54FE7"/>
    <w:rsid w:val="0DB50EA8"/>
    <w:rsid w:val="0DBE2B84"/>
    <w:rsid w:val="0E2055ED"/>
    <w:rsid w:val="0E2C21E4"/>
    <w:rsid w:val="0ED87C76"/>
    <w:rsid w:val="0F31382A"/>
    <w:rsid w:val="0F3A5CFC"/>
    <w:rsid w:val="0F73174D"/>
    <w:rsid w:val="0F9D2C6D"/>
    <w:rsid w:val="0FE53E96"/>
    <w:rsid w:val="100C57E1"/>
    <w:rsid w:val="10AF2C58"/>
    <w:rsid w:val="10FE3661"/>
    <w:rsid w:val="117369BF"/>
    <w:rsid w:val="11AE1162"/>
    <w:rsid w:val="11FC5E34"/>
    <w:rsid w:val="123C051C"/>
    <w:rsid w:val="12C549B5"/>
    <w:rsid w:val="130970C4"/>
    <w:rsid w:val="135F0966"/>
    <w:rsid w:val="13897791"/>
    <w:rsid w:val="13C108A5"/>
    <w:rsid w:val="13D03611"/>
    <w:rsid w:val="13D23A42"/>
    <w:rsid w:val="13D911EC"/>
    <w:rsid w:val="13E972C9"/>
    <w:rsid w:val="13F15336"/>
    <w:rsid w:val="140F7FC9"/>
    <w:rsid w:val="141C0DCF"/>
    <w:rsid w:val="14321BD6"/>
    <w:rsid w:val="147541B9"/>
    <w:rsid w:val="14AE3227"/>
    <w:rsid w:val="15003A82"/>
    <w:rsid w:val="152C71B6"/>
    <w:rsid w:val="15DB629E"/>
    <w:rsid w:val="15E6324E"/>
    <w:rsid w:val="15EB072D"/>
    <w:rsid w:val="16341CDF"/>
    <w:rsid w:val="16AF07B0"/>
    <w:rsid w:val="16ED6288"/>
    <w:rsid w:val="16F45869"/>
    <w:rsid w:val="17285513"/>
    <w:rsid w:val="174165D4"/>
    <w:rsid w:val="176F4EEF"/>
    <w:rsid w:val="17C52D61"/>
    <w:rsid w:val="17DB33A7"/>
    <w:rsid w:val="1886020F"/>
    <w:rsid w:val="188A5FFF"/>
    <w:rsid w:val="188D2AE3"/>
    <w:rsid w:val="18E15979"/>
    <w:rsid w:val="18FF22A3"/>
    <w:rsid w:val="19232435"/>
    <w:rsid w:val="193B3162"/>
    <w:rsid w:val="19850175"/>
    <w:rsid w:val="199724DC"/>
    <w:rsid w:val="199B021E"/>
    <w:rsid w:val="1A2B31DC"/>
    <w:rsid w:val="1A2B77F4"/>
    <w:rsid w:val="1A2D5A2A"/>
    <w:rsid w:val="1A40430B"/>
    <w:rsid w:val="1A526059"/>
    <w:rsid w:val="1A8213DE"/>
    <w:rsid w:val="1A8D322C"/>
    <w:rsid w:val="1AE71241"/>
    <w:rsid w:val="1AF8344E"/>
    <w:rsid w:val="1B414DF5"/>
    <w:rsid w:val="1B8C2514"/>
    <w:rsid w:val="1C296A25"/>
    <w:rsid w:val="1C326979"/>
    <w:rsid w:val="1C4701E9"/>
    <w:rsid w:val="1C584B2A"/>
    <w:rsid w:val="1C777CB6"/>
    <w:rsid w:val="1CDF6673"/>
    <w:rsid w:val="1D141219"/>
    <w:rsid w:val="1D2D2709"/>
    <w:rsid w:val="1DC6338F"/>
    <w:rsid w:val="1DDA1BEE"/>
    <w:rsid w:val="1E2A6014"/>
    <w:rsid w:val="1E3A434A"/>
    <w:rsid w:val="1E5427C8"/>
    <w:rsid w:val="1E6058EF"/>
    <w:rsid w:val="1E6A6411"/>
    <w:rsid w:val="1EA35913"/>
    <w:rsid w:val="1ED66624"/>
    <w:rsid w:val="1F0966CF"/>
    <w:rsid w:val="1F234F3D"/>
    <w:rsid w:val="1F520E6A"/>
    <w:rsid w:val="1F66307C"/>
    <w:rsid w:val="1F8A4FBC"/>
    <w:rsid w:val="1FBE07C2"/>
    <w:rsid w:val="1FCA53B9"/>
    <w:rsid w:val="1FF57F5C"/>
    <w:rsid w:val="20AA0721"/>
    <w:rsid w:val="20B83463"/>
    <w:rsid w:val="2116462E"/>
    <w:rsid w:val="217B3448"/>
    <w:rsid w:val="21871088"/>
    <w:rsid w:val="21A83773"/>
    <w:rsid w:val="224054D3"/>
    <w:rsid w:val="226D75CB"/>
    <w:rsid w:val="227A63D2"/>
    <w:rsid w:val="22853819"/>
    <w:rsid w:val="228C104B"/>
    <w:rsid w:val="22AC5CA2"/>
    <w:rsid w:val="22B37179"/>
    <w:rsid w:val="22C04851"/>
    <w:rsid w:val="22C5441E"/>
    <w:rsid w:val="22F32BE8"/>
    <w:rsid w:val="23163E7E"/>
    <w:rsid w:val="23315DDC"/>
    <w:rsid w:val="23566F63"/>
    <w:rsid w:val="23D42CAA"/>
    <w:rsid w:val="24253506"/>
    <w:rsid w:val="243F3E9B"/>
    <w:rsid w:val="245722C1"/>
    <w:rsid w:val="24665464"/>
    <w:rsid w:val="246B4C91"/>
    <w:rsid w:val="2480698E"/>
    <w:rsid w:val="248F097F"/>
    <w:rsid w:val="24C06D8A"/>
    <w:rsid w:val="24C85C3F"/>
    <w:rsid w:val="252214A4"/>
    <w:rsid w:val="25506360"/>
    <w:rsid w:val="25BA1A2C"/>
    <w:rsid w:val="25D86356"/>
    <w:rsid w:val="25E77139"/>
    <w:rsid w:val="25E956CD"/>
    <w:rsid w:val="25EA5925"/>
    <w:rsid w:val="25FC0BA2"/>
    <w:rsid w:val="26013AFE"/>
    <w:rsid w:val="26076A33"/>
    <w:rsid w:val="26432D7B"/>
    <w:rsid w:val="26435B6E"/>
    <w:rsid w:val="264506CE"/>
    <w:rsid w:val="265C2AE3"/>
    <w:rsid w:val="266B541C"/>
    <w:rsid w:val="26711CA2"/>
    <w:rsid w:val="26826FA0"/>
    <w:rsid w:val="269562BD"/>
    <w:rsid w:val="26990BE6"/>
    <w:rsid w:val="26C32B62"/>
    <w:rsid w:val="27C923FA"/>
    <w:rsid w:val="27E23E17"/>
    <w:rsid w:val="28110526"/>
    <w:rsid w:val="281573ED"/>
    <w:rsid w:val="28292E99"/>
    <w:rsid w:val="285C1CF2"/>
    <w:rsid w:val="28846321"/>
    <w:rsid w:val="28B704A4"/>
    <w:rsid w:val="28D9041B"/>
    <w:rsid w:val="28DE61E0"/>
    <w:rsid w:val="28F42C09"/>
    <w:rsid w:val="28FE0E07"/>
    <w:rsid w:val="292E0F9E"/>
    <w:rsid w:val="293E25E5"/>
    <w:rsid w:val="29470A2F"/>
    <w:rsid w:val="294E4079"/>
    <w:rsid w:val="29804D3A"/>
    <w:rsid w:val="299F54DA"/>
    <w:rsid w:val="29A22F02"/>
    <w:rsid w:val="29C01243"/>
    <w:rsid w:val="29C54E43"/>
    <w:rsid w:val="29CC08B5"/>
    <w:rsid w:val="29D60DFE"/>
    <w:rsid w:val="29FF21BF"/>
    <w:rsid w:val="2AA37AE9"/>
    <w:rsid w:val="2ADB59A9"/>
    <w:rsid w:val="2B200583"/>
    <w:rsid w:val="2B2220B7"/>
    <w:rsid w:val="2B234681"/>
    <w:rsid w:val="2B355689"/>
    <w:rsid w:val="2B512E32"/>
    <w:rsid w:val="2B662F45"/>
    <w:rsid w:val="2B920D55"/>
    <w:rsid w:val="2BAF7B59"/>
    <w:rsid w:val="2BB92785"/>
    <w:rsid w:val="2BBC6656"/>
    <w:rsid w:val="2BC54E63"/>
    <w:rsid w:val="2BD46F7D"/>
    <w:rsid w:val="2BF10171"/>
    <w:rsid w:val="2C183950"/>
    <w:rsid w:val="2CAB47C4"/>
    <w:rsid w:val="2D4C278A"/>
    <w:rsid w:val="2D7D7F0E"/>
    <w:rsid w:val="2DA32131"/>
    <w:rsid w:val="2E5909DA"/>
    <w:rsid w:val="2E8B7050"/>
    <w:rsid w:val="2E9D1EEA"/>
    <w:rsid w:val="2F582574"/>
    <w:rsid w:val="2F6D5D61"/>
    <w:rsid w:val="2F776BDF"/>
    <w:rsid w:val="2F9C510D"/>
    <w:rsid w:val="30085A89"/>
    <w:rsid w:val="30234671"/>
    <w:rsid w:val="30330D58"/>
    <w:rsid w:val="30352A6B"/>
    <w:rsid w:val="30817551"/>
    <w:rsid w:val="313640D6"/>
    <w:rsid w:val="3140197F"/>
    <w:rsid w:val="31762116"/>
    <w:rsid w:val="31F2254D"/>
    <w:rsid w:val="32D7038C"/>
    <w:rsid w:val="332F60A6"/>
    <w:rsid w:val="33A65CE5"/>
    <w:rsid w:val="34032639"/>
    <w:rsid w:val="341C3168"/>
    <w:rsid w:val="342235BE"/>
    <w:rsid w:val="348E47AF"/>
    <w:rsid w:val="34D523DE"/>
    <w:rsid w:val="34F21B8C"/>
    <w:rsid w:val="35010862"/>
    <w:rsid w:val="35134CB4"/>
    <w:rsid w:val="351A4295"/>
    <w:rsid w:val="352944D8"/>
    <w:rsid w:val="35441312"/>
    <w:rsid w:val="356A3467"/>
    <w:rsid w:val="358E07DF"/>
    <w:rsid w:val="359C73A0"/>
    <w:rsid w:val="35DE52C2"/>
    <w:rsid w:val="362A3A8B"/>
    <w:rsid w:val="3663062D"/>
    <w:rsid w:val="369B1405"/>
    <w:rsid w:val="36DB3943"/>
    <w:rsid w:val="3775506E"/>
    <w:rsid w:val="37A40570"/>
    <w:rsid w:val="37D72911"/>
    <w:rsid w:val="37FF2CDF"/>
    <w:rsid w:val="383E029A"/>
    <w:rsid w:val="38C70704"/>
    <w:rsid w:val="38D62BC9"/>
    <w:rsid w:val="38D96215"/>
    <w:rsid w:val="38EA0422"/>
    <w:rsid w:val="3925145A"/>
    <w:rsid w:val="393F251C"/>
    <w:rsid w:val="3971469F"/>
    <w:rsid w:val="39861EF9"/>
    <w:rsid w:val="39B2192F"/>
    <w:rsid w:val="39FF3A59"/>
    <w:rsid w:val="3A241712"/>
    <w:rsid w:val="3A2D4A6A"/>
    <w:rsid w:val="3A5C3E46"/>
    <w:rsid w:val="3A5E5885"/>
    <w:rsid w:val="3A83468A"/>
    <w:rsid w:val="3AAC1E33"/>
    <w:rsid w:val="3AAC2AB2"/>
    <w:rsid w:val="3AE56469"/>
    <w:rsid w:val="3AF905C0"/>
    <w:rsid w:val="3B442853"/>
    <w:rsid w:val="3B4C2CCE"/>
    <w:rsid w:val="3B6915DB"/>
    <w:rsid w:val="3B9F3746"/>
    <w:rsid w:val="3BF66F2E"/>
    <w:rsid w:val="3C3A521C"/>
    <w:rsid w:val="3C695FAF"/>
    <w:rsid w:val="3CE277AA"/>
    <w:rsid w:val="3D1D0DC6"/>
    <w:rsid w:val="3D3954D4"/>
    <w:rsid w:val="3D5C1AA3"/>
    <w:rsid w:val="3D895F5B"/>
    <w:rsid w:val="3D8C5F4C"/>
    <w:rsid w:val="3D9902F3"/>
    <w:rsid w:val="3DA74B34"/>
    <w:rsid w:val="3DEA29AB"/>
    <w:rsid w:val="3E104487"/>
    <w:rsid w:val="3E3D0FF4"/>
    <w:rsid w:val="3E5A603B"/>
    <w:rsid w:val="3E636CAD"/>
    <w:rsid w:val="3E817133"/>
    <w:rsid w:val="3EA90437"/>
    <w:rsid w:val="3EB2553E"/>
    <w:rsid w:val="3EDD0668"/>
    <w:rsid w:val="3F2C52F0"/>
    <w:rsid w:val="3F686BBC"/>
    <w:rsid w:val="3F6B48A4"/>
    <w:rsid w:val="3F7D9922"/>
    <w:rsid w:val="3F914E68"/>
    <w:rsid w:val="3FDB0AC5"/>
    <w:rsid w:val="3FED7B60"/>
    <w:rsid w:val="4000052B"/>
    <w:rsid w:val="404A20B4"/>
    <w:rsid w:val="405014B2"/>
    <w:rsid w:val="4091073C"/>
    <w:rsid w:val="40923879"/>
    <w:rsid w:val="40D45C40"/>
    <w:rsid w:val="40E35E83"/>
    <w:rsid w:val="40ED4F53"/>
    <w:rsid w:val="40EE65D6"/>
    <w:rsid w:val="411405EC"/>
    <w:rsid w:val="41C55588"/>
    <w:rsid w:val="420A5A56"/>
    <w:rsid w:val="42417305"/>
    <w:rsid w:val="425443A8"/>
    <w:rsid w:val="42785D1A"/>
    <w:rsid w:val="42C45840"/>
    <w:rsid w:val="42D77C69"/>
    <w:rsid w:val="42F04887"/>
    <w:rsid w:val="42F8373B"/>
    <w:rsid w:val="43192030"/>
    <w:rsid w:val="431A1904"/>
    <w:rsid w:val="43211E2D"/>
    <w:rsid w:val="434B36F4"/>
    <w:rsid w:val="438657FD"/>
    <w:rsid w:val="43915650"/>
    <w:rsid w:val="439F30B0"/>
    <w:rsid w:val="443D58AA"/>
    <w:rsid w:val="44427364"/>
    <w:rsid w:val="447A08AC"/>
    <w:rsid w:val="44967C16"/>
    <w:rsid w:val="44D2454B"/>
    <w:rsid w:val="45154A79"/>
    <w:rsid w:val="453C3DB3"/>
    <w:rsid w:val="4541644A"/>
    <w:rsid w:val="45467BF7"/>
    <w:rsid w:val="45886FF9"/>
    <w:rsid w:val="459E6B91"/>
    <w:rsid w:val="45A914DC"/>
    <w:rsid w:val="45AC718B"/>
    <w:rsid w:val="46004DE1"/>
    <w:rsid w:val="460846A2"/>
    <w:rsid w:val="46252A99"/>
    <w:rsid w:val="468210E2"/>
    <w:rsid w:val="469A6FE4"/>
    <w:rsid w:val="469A7712"/>
    <w:rsid w:val="470703F1"/>
    <w:rsid w:val="473F33F0"/>
    <w:rsid w:val="4749624C"/>
    <w:rsid w:val="474E0956"/>
    <w:rsid w:val="475D2918"/>
    <w:rsid w:val="476F19B6"/>
    <w:rsid w:val="47A64587"/>
    <w:rsid w:val="4824427F"/>
    <w:rsid w:val="48274354"/>
    <w:rsid w:val="482B5796"/>
    <w:rsid w:val="48496F13"/>
    <w:rsid w:val="48693111"/>
    <w:rsid w:val="4871646A"/>
    <w:rsid w:val="494F20BC"/>
    <w:rsid w:val="49975A5C"/>
    <w:rsid w:val="499F2B63"/>
    <w:rsid w:val="4A054AA4"/>
    <w:rsid w:val="4A0F5F3A"/>
    <w:rsid w:val="4A2D016F"/>
    <w:rsid w:val="4A68007C"/>
    <w:rsid w:val="4A897A9B"/>
    <w:rsid w:val="4AB26159"/>
    <w:rsid w:val="4AE71713"/>
    <w:rsid w:val="4B0F6F0C"/>
    <w:rsid w:val="4B2E0642"/>
    <w:rsid w:val="4B4C5516"/>
    <w:rsid w:val="4B6D0F55"/>
    <w:rsid w:val="4BAB6DCF"/>
    <w:rsid w:val="4BF61160"/>
    <w:rsid w:val="4C190F29"/>
    <w:rsid w:val="4C2428A3"/>
    <w:rsid w:val="4C2B6930"/>
    <w:rsid w:val="4C520360"/>
    <w:rsid w:val="4C8B6016"/>
    <w:rsid w:val="4CCB32F5"/>
    <w:rsid w:val="4D0C49B3"/>
    <w:rsid w:val="4D16138E"/>
    <w:rsid w:val="4D193597"/>
    <w:rsid w:val="4D225F85"/>
    <w:rsid w:val="4DA90454"/>
    <w:rsid w:val="4DAE20A0"/>
    <w:rsid w:val="4DDE60C6"/>
    <w:rsid w:val="4DF416CF"/>
    <w:rsid w:val="4E720846"/>
    <w:rsid w:val="4E793DB9"/>
    <w:rsid w:val="4E843A53"/>
    <w:rsid w:val="4E9B1B4B"/>
    <w:rsid w:val="4EC93451"/>
    <w:rsid w:val="4ECF3EEA"/>
    <w:rsid w:val="4F256F26"/>
    <w:rsid w:val="4F75488C"/>
    <w:rsid w:val="4F8847C5"/>
    <w:rsid w:val="4FB57705"/>
    <w:rsid w:val="4FD86DCF"/>
    <w:rsid w:val="500D0670"/>
    <w:rsid w:val="501E5109"/>
    <w:rsid w:val="502D2C76"/>
    <w:rsid w:val="50485D02"/>
    <w:rsid w:val="50C01B7C"/>
    <w:rsid w:val="50D94BAC"/>
    <w:rsid w:val="510F4A72"/>
    <w:rsid w:val="514461C7"/>
    <w:rsid w:val="51823496"/>
    <w:rsid w:val="51E56853"/>
    <w:rsid w:val="522400A9"/>
    <w:rsid w:val="525F10E1"/>
    <w:rsid w:val="52691F60"/>
    <w:rsid w:val="526C43DD"/>
    <w:rsid w:val="52872CB4"/>
    <w:rsid w:val="528A1650"/>
    <w:rsid w:val="52AC6928"/>
    <w:rsid w:val="533C7AC9"/>
    <w:rsid w:val="5362532D"/>
    <w:rsid w:val="537D3F15"/>
    <w:rsid w:val="5452125E"/>
    <w:rsid w:val="54596730"/>
    <w:rsid w:val="54A37489"/>
    <w:rsid w:val="54E33989"/>
    <w:rsid w:val="55592760"/>
    <w:rsid w:val="557E2768"/>
    <w:rsid w:val="558C043F"/>
    <w:rsid w:val="55B856D8"/>
    <w:rsid w:val="55D2615F"/>
    <w:rsid w:val="55ED79D3"/>
    <w:rsid w:val="56072502"/>
    <w:rsid w:val="56554380"/>
    <w:rsid w:val="56554CD5"/>
    <w:rsid w:val="567F3A81"/>
    <w:rsid w:val="56AD75FB"/>
    <w:rsid w:val="56DF417F"/>
    <w:rsid w:val="56F7654C"/>
    <w:rsid w:val="570D0833"/>
    <w:rsid w:val="57313190"/>
    <w:rsid w:val="576657D3"/>
    <w:rsid w:val="57727B09"/>
    <w:rsid w:val="577E025B"/>
    <w:rsid w:val="57832F0A"/>
    <w:rsid w:val="5787516D"/>
    <w:rsid w:val="57B7680D"/>
    <w:rsid w:val="57F64296"/>
    <w:rsid w:val="582C415B"/>
    <w:rsid w:val="58492617"/>
    <w:rsid w:val="584D4DF7"/>
    <w:rsid w:val="589F0489"/>
    <w:rsid w:val="58D00F8B"/>
    <w:rsid w:val="58D8399B"/>
    <w:rsid w:val="58FA484A"/>
    <w:rsid w:val="58FF717A"/>
    <w:rsid w:val="591C1ADA"/>
    <w:rsid w:val="59587EEF"/>
    <w:rsid w:val="595B4CF8"/>
    <w:rsid w:val="59C04B5B"/>
    <w:rsid w:val="59EE16C8"/>
    <w:rsid w:val="5A0E3B19"/>
    <w:rsid w:val="5A1924BD"/>
    <w:rsid w:val="5A1B6236"/>
    <w:rsid w:val="5A6000EC"/>
    <w:rsid w:val="5A72647D"/>
    <w:rsid w:val="5AC643F3"/>
    <w:rsid w:val="5AE83694"/>
    <w:rsid w:val="5B394BC5"/>
    <w:rsid w:val="5B3E43C1"/>
    <w:rsid w:val="5B400EA9"/>
    <w:rsid w:val="5B6F3FE4"/>
    <w:rsid w:val="5B724974"/>
    <w:rsid w:val="5BAD110F"/>
    <w:rsid w:val="5BCB0D3D"/>
    <w:rsid w:val="5C0C4088"/>
    <w:rsid w:val="5C4C1E77"/>
    <w:rsid w:val="5C675762"/>
    <w:rsid w:val="5C9B365E"/>
    <w:rsid w:val="5C9D73D6"/>
    <w:rsid w:val="5CE46DB3"/>
    <w:rsid w:val="5D086F45"/>
    <w:rsid w:val="5D225ADD"/>
    <w:rsid w:val="5D2638CB"/>
    <w:rsid w:val="5D52000A"/>
    <w:rsid w:val="5D6E48CE"/>
    <w:rsid w:val="5D7E7207"/>
    <w:rsid w:val="5D8635A6"/>
    <w:rsid w:val="5DD3249A"/>
    <w:rsid w:val="5E1377F0"/>
    <w:rsid w:val="5E197A93"/>
    <w:rsid w:val="5E2B24BF"/>
    <w:rsid w:val="5E6261E1"/>
    <w:rsid w:val="5E7457CA"/>
    <w:rsid w:val="5E926D8C"/>
    <w:rsid w:val="5F2841DA"/>
    <w:rsid w:val="5F3758C0"/>
    <w:rsid w:val="5F4018C4"/>
    <w:rsid w:val="5F5E1B86"/>
    <w:rsid w:val="5FA32F55"/>
    <w:rsid w:val="5FD64C3D"/>
    <w:rsid w:val="5FDB26EF"/>
    <w:rsid w:val="600D3074"/>
    <w:rsid w:val="605129B1"/>
    <w:rsid w:val="605204D7"/>
    <w:rsid w:val="607448F1"/>
    <w:rsid w:val="60787F3E"/>
    <w:rsid w:val="618F19E3"/>
    <w:rsid w:val="61FE26C5"/>
    <w:rsid w:val="62373E29"/>
    <w:rsid w:val="623936FD"/>
    <w:rsid w:val="62E278F0"/>
    <w:rsid w:val="62E47B0C"/>
    <w:rsid w:val="62E573E1"/>
    <w:rsid w:val="63141A74"/>
    <w:rsid w:val="6320666B"/>
    <w:rsid w:val="63220635"/>
    <w:rsid w:val="634C56B2"/>
    <w:rsid w:val="63524A4F"/>
    <w:rsid w:val="64243F39"/>
    <w:rsid w:val="6435469C"/>
    <w:rsid w:val="64371EBE"/>
    <w:rsid w:val="64740A1C"/>
    <w:rsid w:val="64773317"/>
    <w:rsid w:val="64E85052"/>
    <w:rsid w:val="65000502"/>
    <w:rsid w:val="65404DA2"/>
    <w:rsid w:val="65593B74"/>
    <w:rsid w:val="65A111FA"/>
    <w:rsid w:val="662A7F2C"/>
    <w:rsid w:val="66886A01"/>
    <w:rsid w:val="669E7FD2"/>
    <w:rsid w:val="66AF3F8D"/>
    <w:rsid w:val="66E73B59"/>
    <w:rsid w:val="6758395D"/>
    <w:rsid w:val="677E3975"/>
    <w:rsid w:val="67927055"/>
    <w:rsid w:val="679F2254"/>
    <w:rsid w:val="67B57CC9"/>
    <w:rsid w:val="67DC68BE"/>
    <w:rsid w:val="687D430B"/>
    <w:rsid w:val="688E1D41"/>
    <w:rsid w:val="697F11AD"/>
    <w:rsid w:val="6A0D5D76"/>
    <w:rsid w:val="6A567096"/>
    <w:rsid w:val="6A6B0B13"/>
    <w:rsid w:val="6AB37DC4"/>
    <w:rsid w:val="6AED1528"/>
    <w:rsid w:val="6AF65F76"/>
    <w:rsid w:val="6AFC176B"/>
    <w:rsid w:val="6B3B6738"/>
    <w:rsid w:val="6B43460A"/>
    <w:rsid w:val="6B491630"/>
    <w:rsid w:val="6B72383C"/>
    <w:rsid w:val="6B834FD8"/>
    <w:rsid w:val="6BF33304"/>
    <w:rsid w:val="6C213E3A"/>
    <w:rsid w:val="6C4C6AF0"/>
    <w:rsid w:val="6C522CF8"/>
    <w:rsid w:val="6C8D1EA8"/>
    <w:rsid w:val="6CC30793"/>
    <w:rsid w:val="6CC8224D"/>
    <w:rsid w:val="6CE95D1F"/>
    <w:rsid w:val="6CED29CE"/>
    <w:rsid w:val="6CF272CA"/>
    <w:rsid w:val="6D3279D3"/>
    <w:rsid w:val="6D742477"/>
    <w:rsid w:val="6D916BC5"/>
    <w:rsid w:val="6DC742B3"/>
    <w:rsid w:val="6DEE5CE3"/>
    <w:rsid w:val="6E1C7B05"/>
    <w:rsid w:val="6E7004A6"/>
    <w:rsid w:val="6EA74844"/>
    <w:rsid w:val="6EE41C7E"/>
    <w:rsid w:val="6F054B5F"/>
    <w:rsid w:val="6F064FA0"/>
    <w:rsid w:val="6F0D03EB"/>
    <w:rsid w:val="6F6163B5"/>
    <w:rsid w:val="6F9E42AF"/>
    <w:rsid w:val="6FD35191"/>
    <w:rsid w:val="6FFE5F86"/>
    <w:rsid w:val="70477719"/>
    <w:rsid w:val="70A628A5"/>
    <w:rsid w:val="70B36D70"/>
    <w:rsid w:val="70D56CE6"/>
    <w:rsid w:val="70EE4EC4"/>
    <w:rsid w:val="70F73101"/>
    <w:rsid w:val="71241A1C"/>
    <w:rsid w:val="712D267F"/>
    <w:rsid w:val="71333A0D"/>
    <w:rsid w:val="715D09E7"/>
    <w:rsid w:val="716B5189"/>
    <w:rsid w:val="71724502"/>
    <w:rsid w:val="72534367"/>
    <w:rsid w:val="726C367A"/>
    <w:rsid w:val="727F059A"/>
    <w:rsid w:val="728413A6"/>
    <w:rsid w:val="72987FCC"/>
    <w:rsid w:val="729A3D44"/>
    <w:rsid w:val="735E6097"/>
    <w:rsid w:val="736B748E"/>
    <w:rsid w:val="738B17CA"/>
    <w:rsid w:val="73D16B38"/>
    <w:rsid w:val="73E84F83"/>
    <w:rsid w:val="74100036"/>
    <w:rsid w:val="745253E2"/>
    <w:rsid w:val="74AE3AD6"/>
    <w:rsid w:val="75487C09"/>
    <w:rsid w:val="754E7067"/>
    <w:rsid w:val="760503EB"/>
    <w:rsid w:val="7629074B"/>
    <w:rsid w:val="763A6438"/>
    <w:rsid w:val="76487F5B"/>
    <w:rsid w:val="76C411B1"/>
    <w:rsid w:val="76D0185E"/>
    <w:rsid w:val="76F310A1"/>
    <w:rsid w:val="77304C77"/>
    <w:rsid w:val="7731418C"/>
    <w:rsid w:val="774D3A7A"/>
    <w:rsid w:val="77844FC2"/>
    <w:rsid w:val="77A04190"/>
    <w:rsid w:val="77BB0FB7"/>
    <w:rsid w:val="77C35AEB"/>
    <w:rsid w:val="77ED067C"/>
    <w:rsid w:val="783764D9"/>
    <w:rsid w:val="78641C43"/>
    <w:rsid w:val="78C7160B"/>
    <w:rsid w:val="78CC4E73"/>
    <w:rsid w:val="78D308AD"/>
    <w:rsid w:val="78E63D5F"/>
    <w:rsid w:val="7981553E"/>
    <w:rsid w:val="79E9735F"/>
    <w:rsid w:val="79F35DE6"/>
    <w:rsid w:val="7A106FE1"/>
    <w:rsid w:val="7A1A39BC"/>
    <w:rsid w:val="7A304838"/>
    <w:rsid w:val="7A4D1FE3"/>
    <w:rsid w:val="7A513882"/>
    <w:rsid w:val="7A684727"/>
    <w:rsid w:val="7A7A445B"/>
    <w:rsid w:val="7A94450E"/>
    <w:rsid w:val="7AA00365"/>
    <w:rsid w:val="7AC10EE5"/>
    <w:rsid w:val="7B0A3A31"/>
    <w:rsid w:val="7B1A0118"/>
    <w:rsid w:val="7B6E1B84"/>
    <w:rsid w:val="7BF32717"/>
    <w:rsid w:val="7BFD3595"/>
    <w:rsid w:val="7C65016F"/>
    <w:rsid w:val="7CBB5779"/>
    <w:rsid w:val="7D6F7F49"/>
    <w:rsid w:val="7D9615AC"/>
    <w:rsid w:val="7DFA5FDE"/>
    <w:rsid w:val="7E1907B6"/>
    <w:rsid w:val="7E3F60E7"/>
    <w:rsid w:val="7E4B4A8C"/>
    <w:rsid w:val="7ECC6DC5"/>
    <w:rsid w:val="7EE12CFA"/>
    <w:rsid w:val="7EE84089"/>
    <w:rsid w:val="7EF02F3D"/>
    <w:rsid w:val="7F1B620C"/>
    <w:rsid w:val="7F565CF2"/>
    <w:rsid w:val="7F6B5BF7"/>
    <w:rsid w:val="7F855D7C"/>
    <w:rsid w:val="7FA82672"/>
    <w:rsid w:val="7FBA6FEC"/>
    <w:rsid w:val="7FED81C7"/>
    <w:rsid w:val="7FFB2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168" w:beforeAutospacing="0" w:after="63" w:afterAutospacing="0"/>
      <w:ind w:left="0" w:right="0"/>
      <w:jc w:val="left"/>
    </w:pPr>
    <w:rPr>
      <w:rFonts w:ascii="微软雅黑" w:hAnsi="微软雅黑" w:eastAsia="微软雅黑" w:cs="微软雅黑"/>
      <w:b/>
      <w:color w:val="006DBA"/>
      <w:kern w:val="0"/>
      <w:sz w:val="22"/>
      <w:szCs w:val="22"/>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7">
    <w:name w:val="annotation text"/>
    <w:basedOn w:val="1"/>
    <w:qFormat/>
    <w:uiPriority w:val="0"/>
    <w:pPr>
      <w:jc w:val="left"/>
    </w:pPr>
  </w:style>
  <w:style w:type="paragraph" w:styleId="8">
    <w:name w:val="Body Text"/>
    <w:basedOn w:val="1"/>
    <w:qFormat/>
    <w:uiPriority w:val="0"/>
    <w:pPr>
      <w:spacing w:after="120"/>
    </w:pPr>
    <w:rPr>
      <w:rFonts w:cs="Times New Roman"/>
      <w:szCs w:val="24"/>
    </w:rPr>
  </w:style>
  <w:style w:type="paragraph" w:styleId="9">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8"/>
    <w:qFormat/>
    <w:uiPriority w:val="0"/>
    <w:pPr>
      <w:ind w:firstLine="420" w:firstLineChars="100"/>
    </w:pPr>
    <w:rPr>
      <w:kern w:val="0"/>
      <w:sz w:val="24"/>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0"/>
    <w:rPr>
      <w:b/>
    </w:rPr>
  </w:style>
  <w:style w:type="character" w:styleId="16">
    <w:name w:val="FollowedHyperlink"/>
    <w:basedOn w:val="14"/>
    <w:qFormat/>
    <w:uiPriority w:val="0"/>
    <w:rPr>
      <w:color w:val="800080"/>
      <w:u w:val="none"/>
    </w:rPr>
  </w:style>
  <w:style w:type="character" w:styleId="17">
    <w:name w:val="Emphasis"/>
    <w:basedOn w:val="14"/>
    <w:qFormat/>
    <w:uiPriority w:val="0"/>
    <w:rPr>
      <w:i/>
    </w:rPr>
  </w:style>
  <w:style w:type="character" w:styleId="18">
    <w:name w:val="Hyperlink"/>
    <w:basedOn w:val="14"/>
    <w:qFormat/>
    <w:uiPriority w:val="0"/>
    <w:rPr>
      <w:color w:val="0000FF"/>
      <w:u w:val="none"/>
    </w:rPr>
  </w:style>
  <w:style w:type="character" w:customStyle="1" w:styleId="19">
    <w:name w:val="l-btn-left"/>
    <w:basedOn w:val="14"/>
    <w:qFormat/>
    <w:uiPriority w:val="0"/>
  </w:style>
  <w:style w:type="character" w:customStyle="1" w:styleId="20">
    <w:name w:val="l-btn-left1"/>
    <w:basedOn w:val="14"/>
    <w:qFormat/>
    <w:uiPriority w:val="0"/>
  </w:style>
  <w:style w:type="character" w:customStyle="1" w:styleId="21">
    <w:name w:val="l-btn-left2"/>
    <w:basedOn w:val="14"/>
    <w:qFormat/>
    <w:uiPriority w:val="0"/>
  </w:style>
  <w:style w:type="character" w:customStyle="1" w:styleId="22">
    <w:name w:val="l-btn-left3"/>
    <w:basedOn w:val="14"/>
    <w:qFormat/>
    <w:uiPriority w:val="0"/>
  </w:style>
  <w:style w:type="character" w:customStyle="1" w:styleId="23">
    <w:name w:val="l-btn-text"/>
    <w:basedOn w:val="14"/>
    <w:qFormat/>
    <w:uiPriority w:val="0"/>
  </w:style>
  <w:style w:type="character" w:customStyle="1" w:styleId="24">
    <w:name w:val="l-btn-empty"/>
    <w:basedOn w:val="14"/>
    <w:qFormat/>
    <w:uiPriority w:val="0"/>
  </w:style>
  <w:style w:type="character" w:customStyle="1" w:styleId="25">
    <w:name w:val="filename"/>
    <w:basedOn w:val="14"/>
    <w:qFormat/>
    <w:uiPriority w:val="0"/>
    <w:rPr>
      <w:color w:val="777777"/>
      <w:sz w:val="16"/>
      <w:szCs w:val="16"/>
    </w:rPr>
  </w:style>
  <w:style w:type="character" w:customStyle="1" w:styleId="26">
    <w:name w:val="action"/>
    <w:basedOn w:val="14"/>
    <w:qFormat/>
    <w:uiPriority w:val="0"/>
    <w:rPr>
      <w:b/>
      <w:sz w:val="16"/>
      <w:szCs w:val="16"/>
      <w:shd w:val="clear" w:fill="FFFFFF"/>
    </w:rPr>
  </w:style>
  <w:style w:type="character" w:customStyle="1" w:styleId="27">
    <w:name w:val="checked"/>
    <w:basedOn w:val="14"/>
    <w:qFormat/>
    <w:uiPriority w:val="0"/>
  </w:style>
  <w:style w:type="character" w:customStyle="1" w:styleId="28">
    <w:name w:val="checked1"/>
    <w:basedOn w:val="14"/>
    <w:qFormat/>
    <w:uiPriority w:val="0"/>
  </w:style>
  <w:style w:type="paragraph" w:customStyle="1" w:styleId="29">
    <w:name w:val="_Style 17"/>
    <w:basedOn w:val="1"/>
    <w:next w:val="1"/>
    <w:qFormat/>
    <w:uiPriority w:val="0"/>
    <w:pPr>
      <w:pBdr>
        <w:bottom w:val="single" w:color="auto" w:sz="6" w:space="1"/>
      </w:pBdr>
      <w:jc w:val="center"/>
    </w:pPr>
    <w:rPr>
      <w:rFonts w:ascii="Arial" w:eastAsia="宋体"/>
      <w:vanish/>
      <w:sz w:val="16"/>
    </w:rPr>
  </w:style>
  <w:style w:type="paragraph" w:customStyle="1" w:styleId="30">
    <w:name w:val="_Style 18"/>
    <w:basedOn w:val="1"/>
    <w:next w:val="1"/>
    <w:qFormat/>
    <w:uiPriority w:val="0"/>
    <w:pPr>
      <w:pBdr>
        <w:top w:val="single" w:color="auto" w:sz="6" w:space="1"/>
      </w:pBdr>
      <w:jc w:val="center"/>
    </w:pPr>
    <w:rPr>
      <w:rFonts w:ascii="Arial" w:eastAsia="宋体"/>
      <w:vanish/>
      <w:sz w:val="16"/>
    </w:rPr>
  </w:style>
  <w:style w:type="character" w:customStyle="1" w:styleId="31">
    <w:name w:val="l-btn-left4"/>
    <w:basedOn w:val="14"/>
    <w:qFormat/>
    <w:uiPriority w:val="0"/>
  </w:style>
  <w:style w:type="character" w:customStyle="1" w:styleId="32">
    <w:name w:val="l-btn-left5"/>
    <w:basedOn w:val="14"/>
    <w:qFormat/>
    <w:uiPriority w:val="0"/>
  </w:style>
  <w:style w:type="paragraph" w:customStyle="1" w:styleId="33">
    <w:name w:val="列出段落"/>
    <w:basedOn w:val="1"/>
    <w:qFormat/>
    <w:uiPriority w:val="0"/>
    <w:pPr>
      <w:ind w:firstLine="420" w:firstLineChars="200"/>
    </w:pPr>
    <w:rPr>
      <w:rFonts w:ascii="Times New Roman" w:hAnsi="Times New Roman"/>
      <w:szCs w:val="21"/>
    </w:rPr>
  </w:style>
  <w:style w:type="paragraph" w:customStyle="1" w:styleId="34">
    <w:name w:val="三级无"/>
    <w:basedOn w:val="35"/>
    <w:qFormat/>
    <w:uiPriority w:val="0"/>
    <w:pPr>
      <w:spacing w:beforeLines="0" w:afterLines="0"/>
      <w:ind w:left="993"/>
    </w:pPr>
    <w:rPr>
      <w:rFonts w:ascii="宋体" w:eastAsia="宋体"/>
    </w:rPr>
  </w:style>
  <w:style w:type="paragraph" w:customStyle="1" w:styleId="35">
    <w:name w:val="三级条标题"/>
    <w:basedOn w:val="36"/>
    <w:next w:val="39"/>
    <w:qFormat/>
    <w:uiPriority w:val="0"/>
    <w:pPr>
      <w:numPr>
        <w:ilvl w:val="3"/>
      </w:numPr>
      <w:ind w:left="142"/>
      <w:outlineLvl w:val="4"/>
    </w:pPr>
  </w:style>
  <w:style w:type="paragraph" w:customStyle="1" w:styleId="36">
    <w:name w:val="二级条标题"/>
    <w:basedOn w:val="37"/>
    <w:next w:val="39"/>
    <w:qFormat/>
    <w:uiPriority w:val="99"/>
    <w:pPr>
      <w:numPr>
        <w:ilvl w:val="2"/>
      </w:numPr>
      <w:spacing w:before="50" w:after="50"/>
      <w:outlineLvl w:val="3"/>
    </w:pPr>
  </w:style>
  <w:style w:type="paragraph" w:customStyle="1" w:styleId="37">
    <w:name w:val="一级条标题"/>
    <w:basedOn w:val="38"/>
    <w:next w:val="39"/>
    <w:qFormat/>
    <w:uiPriority w:val="99"/>
    <w:pPr>
      <w:numPr>
        <w:ilvl w:val="1"/>
        <w:numId w:val="1"/>
      </w:numPr>
      <w:outlineLvl w:val="2"/>
    </w:pPr>
    <w:rPr>
      <w:szCs w:val="21"/>
    </w:rPr>
  </w:style>
  <w:style w:type="paragraph" w:customStyle="1" w:styleId="38">
    <w:name w:val="章标题"/>
    <w:next w:val="39"/>
    <w:qFormat/>
    <w:uiPriority w:val="0"/>
    <w:pPr>
      <w:numPr>
        <w:ilvl w:val="0"/>
        <w:numId w:val="2"/>
      </w:numPr>
      <w:spacing w:before="156" w:beforeLines="50" w:after="156" w:afterLines="50"/>
      <w:ind w:left="315"/>
      <w:jc w:val="both"/>
      <w:outlineLvl w:val="1"/>
    </w:pPr>
    <w:rPr>
      <w:rFonts w:ascii="黑体" w:hAnsi="Times New Roman" w:eastAsia="黑体" w:cs="Times New Roman"/>
      <w:sz w:val="21"/>
      <w:lang w:val="en-US" w:eastAsia="zh-CN" w:bidi="ar-SA"/>
    </w:rPr>
  </w:style>
  <w:style w:type="paragraph" w:customStyle="1" w:styleId="39">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paragraph" w:customStyle="1" w:styleId="40">
    <w:name w:val="Other|1"/>
    <w:basedOn w:val="1"/>
    <w:qFormat/>
    <w:uiPriority w:val="0"/>
    <w:pPr>
      <w:widowControl w:val="0"/>
      <w:shd w:val="clear" w:color="auto" w:fill="auto"/>
      <w:spacing w:line="308" w:lineRule="exact"/>
      <w:ind w:firstLine="280"/>
    </w:pPr>
    <w:rPr>
      <w:rFonts w:ascii="宋体" w:hAnsi="宋体" w:eastAsia="宋体" w:cs="宋体"/>
      <w:sz w:val="18"/>
      <w:szCs w:val="18"/>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26071</Words>
  <Characters>26724</Characters>
  <Lines>0</Lines>
  <Paragraphs>0</Paragraphs>
  <TotalTime>0</TotalTime>
  <ScaleCrop>false</ScaleCrop>
  <LinksUpToDate>false</LinksUpToDate>
  <CharactersWithSpaces>26837</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2020-10-28T18:36:00Z</dcterms:created>
  <dc:creator>杨霞</dc:creator>
  <cp:lastModifiedBy>admin</cp:lastModifiedBy>
  <dcterms:modified xsi:type="dcterms:W3CDTF">2024-09-12T09:49:38Z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3FB06C2537944857A2D30E95B61D1C30_13</vt:lpwstr>
  </property>
</Properties>
</file>