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80" w:lineRule="exact"/>
        <w:ind w:left="0" w:leftChars="0" w:right="0" w:rightChars="0" w:firstLine="0" w:firstLineChars="0"/>
        <w:jc w:val="center"/>
        <w:textAlignment w:val="auto"/>
        <w:outlineLvl w:val="9"/>
        <w:rPr>
          <w:rFonts w:hint="eastAsia" w:ascii="Times New Roman" w:hAnsi="Times New Roman" w:eastAsia="方正小标宋简体" w:cs="Times New Roman"/>
          <w:color w:val="auto"/>
          <w:kern w:val="0"/>
          <w:sz w:val="44"/>
          <w:szCs w:val="44"/>
          <w:lang w:val="en-US" w:eastAsia="zh-CN"/>
        </w:rPr>
      </w:pPr>
      <w:r>
        <w:rPr>
          <w:rFonts w:hint="default" w:ascii="宋体" w:hAnsi="宋体" w:eastAsia="宋体" w:cs="Times New Roman"/>
          <w:b/>
          <w:bCs/>
          <w:color w:val="000000"/>
          <w:kern w:val="0"/>
          <w:sz w:val="40"/>
          <w:szCs w:val="40"/>
          <w:lang w:val="en-US" w:eastAsia="zh-CN" w:bidi="ar-SA"/>
        </w:rPr>
        <w:t>道路</w:t>
      </w:r>
      <w:r>
        <w:rPr>
          <w:rFonts w:hint="eastAsia" w:ascii="宋体" w:hAnsi="宋体" w:eastAsia="宋体" w:cs="Times New Roman"/>
          <w:b/>
          <w:bCs/>
          <w:color w:val="000000"/>
          <w:kern w:val="0"/>
          <w:sz w:val="40"/>
          <w:szCs w:val="40"/>
          <w:lang w:val="en-US" w:eastAsia="zh-CN" w:bidi="ar-SA"/>
        </w:rPr>
        <w:t>普通货物</w:t>
      </w:r>
      <w:r>
        <w:rPr>
          <w:rFonts w:hint="default" w:ascii="宋体" w:hAnsi="宋体" w:eastAsia="宋体" w:cs="Times New Roman"/>
          <w:b/>
          <w:bCs/>
          <w:color w:val="000000"/>
          <w:kern w:val="0"/>
          <w:sz w:val="40"/>
          <w:szCs w:val="40"/>
          <w:lang w:val="en-US" w:eastAsia="zh-CN" w:bidi="ar-SA"/>
        </w:rPr>
        <w:t>运输</w:t>
      </w:r>
      <w:r>
        <w:rPr>
          <w:rFonts w:hint="eastAsia" w:cs="Times New Roman"/>
          <w:b/>
          <w:bCs/>
          <w:color w:val="000000"/>
          <w:kern w:val="0"/>
          <w:sz w:val="40"/>
          <w:szCs w:val="40"/>
          <w:lang w:val="en-US" w:eastAsia="zh-CN" w:bidi="ar-SA"/>
        </w:rPr>
        <w:t>企业</w:t>
      </w:r>
      <w:r>
        <w:rPr>
          <w:rFonts w:hint="eastAsia" w:ascii="宋体" w:hAnsi="宋体" w:eastAsia="宋体" w:cs="Times New Roman"/>
          <w:b/>
          <w:bCs/>
          <w:color w:val="000000"/>
          <w:kern w:val="0"/>
          <w:sz w:val="40"/>
          <w:szCs w:val="40"/>
          <w:lang w:val="en-US" w:eastAsia="zh-CN" w:bidi="ar-SA"/>
        </w:rPr>
        <w:t>安全生产标准化达标自评指南（试行）</w:t>
      </w:r>
    </w:p>
    <w:p>
      <w:pPr>
        <w:pStyle w:val="32"/>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val="en-US" w:eastAsia="zh-CN" w:bidi="ar-SA"/>
        </w:rPr>
      </w:pPr>
      <w:bookmarkStart w:id="0" w:name="_GoBack"/>
      <w:bookmarkEnd w:id="0"/>
    </w:p>
    <w:p>
      <w:pPr>
        <w:pStyle w:val="9"/>
        <w:keepNext w:val="0"/>
        <w:keepLines w:val="0"/>
        <w:pageBreakBefore w:val="0"/>
        <w:widowControl/>
        <w:suppressLineNumbers w:val="0"/>
        <w:shd w:val="clear"/>
        <w:kinsoku/>
        <w:wordWrap/>
        <w:overflowPunct/>
        <w:topLinePunct w:val="0"/>
        <w:autoSpaceDE/>
        <w:autoSpaceDN/>
        <w:bidi w:val="0"/>
        <w:adjustRightInd/>
        <w:snapToGrid/>
        <w:ind w:firstLine="640" w:firstLineChars="200"/>
        <w:jc w:val="both"/>
        <w:textAlignment w:val="top"/>
        <w:rPr>
          <w:rFonts w:hint="eastAsia" w:ascii="黑体" w:hAnsi="黑体" w:eastAsia="黑体" w:cs="黑体"/>
          <w:color w:val="auto"/>
          <w:kern w:val="0"/>
          <w:sz w:val="32"/>
          <w:szCs w:val="32"/>
          <w:lang w:val="en-US" w:eastAsia="zh-CN" w:bidi="ar-SA"/>
        </w:rPr>
      </w:pPr>
      <w:r>
        <w:rPr>
          <w:rFonts w:hint="eastAsia" w:ascii="黑体" w:hAnsi="黑体" w:eastAsia="黑体" w:cs="黑体"/>
          <w:color w:val="auto"/>
          <w:kern w:val="0"/>
          <w:sz w:val="32"/>
          <w:szCs w:val="32"/>
          <w:lang w:val="en-US" w:eastAsia="zh-CN" w:bidi="ar-SA"/>
        </w:rPr>
        <w:t>说明：</w:t>
      </w:r>
    </w:p>
    <w:p>
      <w:pPr>
        <w:pStyle w:val="32"/>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1、</w:t>
      </w:r>
      <w:r>
        <w:rPr>
          <w:rFonts w:hint="eastAsia" w:eastAsia="仿宋_GB2312" w:cs="Times New Roman"/>
          <w:color w:val="auto"/>
          <w:kern w:val="0"/>
          <w:sz w:val="32"/>
          <w:szCs w:val="32"/>
          <w:lang w:val="en-US" w:eastAsia="zh-CN" w:bidi="ar-SA"/>
        </w:rPr>
        <w:t>企业标准化建设等级分</w:t>
      </w:r>
      <w:r>
        <w:rPr>
          <w:rFonts w:hint="default" w:ascii="Times New Roman" w:hAnsi="Times New Roman" w:eastAsia="仿宋_GB2312" w:cs="Times New Roman"/>
          <w:color w:val="auto"/>
          <w:kern w:val="0"/>
          <w:sz w:val="32"/>
          <w:szCs w:val="32"/>
          <w:lang w:val="en-US" w:eastAsia="zh-CN" w:bidi="ar-SA"/>
        </w:rPr>
        <w:t>为示范、优秀、良好</w:t>
      </w:r>
      <w:r>
        <w:rPr>
          <w:rFonts w:hint="eastAsia" w:eastAsia="仿宋_GB2312" w:cs="Times New Roman"/>
          <w:color w:val="auto"/>
          <w:kern w:val="0"/>
          <w:sz w:val="32"/>
          <w:szCs w:val="32"/>
          <w:lang w:val="en-US" w:eastAsia="zh-CN" w:bidi="ar-SA"/>
        </w:rPr>
        <w:t>三类</w:t>
      </w:r>
      <w:r>
        <w:rPr>
          <w:rFonts w:hint="default" w:ascii="Times New Roman" w:hAnsi="Times New Roman" w:eastAsia="仿宋_GB2312" w:cs="Times New Roman"/>
          <w:color w:val="auto"/>
          <w:kern w:val="0"/>
          <w:sz w:val="32"/>
          <w:szCs w:val="32"/>
          <w:lang w:val="en-US" w:eastAsia="zh-CN" w:bidi="ar-SA"/>
        </w:rPr>
        <w:t>。</w:t>
      </w:r>
    </w:p>
    <w:p>
      <w:pPr>
        <w:pStyle w:val="32"/>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val="en-US" w:eastAsia="zh-CN" w:bidi="ar-SA"/>
        </w:rPr>
      </w:pPr>
      <w:r>
        <w:rPr>
          <w:rFonts w:hint="default" w:ascii="Times New Roman" w:hAnsi="Times New Roman" w:eastAsia="仿宋_GB2312" w:cs="Times New Roman"/>
          <w:color w:val="auto"/>
          <w:kern w:val="0"/>
          <w:sz w:val="32"/>
          <w:szCs w:val="32"/>
          <w:lang w:val="en-US" w:eastAsia="zh-CN" w:bidi="ar-SA"/>
        </w:rPr>
        <w:t>2、所有</w:t>
      </w:r>
      <w:r>
        <w:rPr>
          <w:rFonts w:hint="eastAsia" w:eastAsia="仿宋_GB2312" w:cs="Times New Roman"/>
          <w:color w:val="auto"/>
          <w:kern w:val="0"/>
          <w:sz w:val="32"/>
          <w:szCs w:val="32"/>
          <w:lang w:val="en-US" w:eastAsia="zh-CN" w:bidi="ar-SA"/>
        </w:rPr>
        <w:t>申请</w:t>
      </w:r>
      <w:r>
        <w:rPr>
          <w:rFonts w:hint="default" w:ascii="Times New Roman" w:hAnsi="Times New Roman" w:eastAsia="仿宋_GB2312" w:cs="Times New Roman"/>
          <w:color w:val="auto"/>
          <w:kern w:val="0"/>
          <w:sz w:val="32"/>
          <w:szCs w:val="32"/>
          <w:lang w:val="en-US" w:eastAsia="zh-CN" w:bidi="ar-SA"/>
        </w:rPr>
        <w:t>示范企业</w:t>
      </w:r>
      <w:r>
        <w:rPr>
          <w:rFonts w:hint="eastAsia" w:eastAsia="仿宋_GB2312" w:cs="Times New Roman"/>
          <w:color w:val="auto"/>
          <w:kern w:val="0"/>
          <w:sz w:val="32"/>
          <w:szCs w:val="32"/>
          <w:lang w:val="en-US" w:eastAsia="zh-CN" w:bidi="ar-SA"/>
        </w:rPr>
        <w:t>的达标</w:t>
      </w:r>
      <w:r>
        <w:rPr>
          <w:rFonts w:hint="eastAsia" w:ascii="Times New Roman" w:hAnsi="Times New Roman" w:eastAsia="仿宋_GB2312" w:cs="Times New Roman"/>
          <w:color w:val="auto"/>
          <w:kern w:val="0"/>
          <w:sz w:val="32"/>
          <w:szCs w:val="32"/>
          <w:lang w:val="en-US" w:eastAsia="zh-CN" w:bidi="ar-SA"/>
        </w:rPr>
        <w:t>“★”</w:t>
      </w:r>
      <w:r>
        <w:rPr>
          <w:rFonts w:hint="default" w:ascii="Times New Roman" w:hAnsi="Times New Roman" w:eastAsia="仿宋_GB2312" w:cs="Times New Roman"/>
          <w:color w:val="auto"/>
          <w:kern w:val="0"/>
          <w:sz w:val="32"/>
          <w:szCs w:val="32"/>
          <w:lang w:val="en-US" w:eastAsia="zh-CN" w:bidi="ar-SA"/>
        </w:rPr>
        <w:t>项目</w:t>
      </w:r>
      <w:r>
        <w:rPr>
          <w:rFonts w:hint="eastAsia" w:eastAsia="仿宋_GB2312" w:cs="Times New Roman"/>
          <w:color w:val="auto"/>
          <w:kern w:val="0"/>
          <w:sz w:val="32"/>
          <w:szCs w:val="32"/>
          <w:lang w:val="en-US" w:eastAsia="zh-CN" w:bidi="ar-SA"/>
        </w:rPr>
        <w:t>个数应</w:t>
      </w:r>
      <w:r>
        <w:rPr>
          <w:rFonts w:hint="default" w:ascii="Times New Roman" w:hAnsi="Times New Roman" w:eastAsia="仿宋_GB2312" w:cs="Times New Roman"/>
          <w:color w:val="auto"/>
          <w:kern w:val="0"/>
          <w:sz w:val="32"/>
          <w:szCs w:val="32"/>
          <w:lang w:val="en-US" w:eastAsia="zh-CN" w:bidi="ar-SA"/>
        </w:rPr>
        <w:t>不低于</w:t>
      </w:r>
      <w:r>
        <w:rPr>
          <w:rFonts w:hint="eastAsia" w:ascii="Times New Roman" w:hAnsi="Times New Roman" w:eastAsia="仿宋_GB2312" w:cs="Times New Roman"/>
          <w:color w:val="auto"/>
          <w:kern w:val="0"/>
          <w:sz w:val="32"/>
          <w:szCs w:val="32"/>
          <w:lang w:val="en-US" w:eastAsia="zh-CN" w:bidi="ar-SA"/>
        </w:rPr>
        <w:t>“★”项目总个数的</w:t>
      </w:r>
      <w:r>
        <w:rPr>
          <w:rFonts w:hint="default" w:ascii="Times New Roman" w:hAnsi="Times New Roman" w:eastAsia="仿宋_GB2312" w:cs="Times New Roman"/>
          <w:color w:val="auto"/>
          <w:kern w:val="0"/>
          <w:sz w:val="32"/>
          <w:szCs w:val="32"/>
          <w:lang w:val="en-US" w:eastAsia="zh-CN" w:bidi="ar-SA"/>
        </w:rPr>
        <w:t>8</w:t>
      </w:r>
      <w:r>
        <w:rPr>
          <w:rFonts w:hint="eastAsia" w:eastAsia="仿宋_GB2312" w:cs="Times New Roman"/>
          <w:color w:val="auto"/>
          <w:kern w:val="0"/>
          <w:sz w:val="32"/>
          <w:szCs w:val="32"/>
          <w:lang w:val="en-US" w:eastAsia="zh-CN" w:bidi="ar-SA"/>
        </w:rPr>
        <w:t>0%</w:t>
      </w:r>
      <w:r>
        <w:rPr>
          <w:rFonts w:hint="default" w:ascii="Times New Roman" w:hAnsi="Times New Roman" w:eastAsia="仿宋_GB2312" w:cs="Times New Roman"/>
          <w:color w:val="auto"/>
          <w:kern w:val="0"/>
          <w:sz w:val="32"/>
          <w:szCs w:val="32"/>
          <w:lang w:val="en-US" w:eastAsia="zh-CN" w:bidi="ar-SA"/>
        </w:rPr>
        <w:t>、“★★”、“★★★”</w:t>
      </w:r>
      <w:r>
        <w:rPr>
          <w:rFonts w:hint="eastAsia" w:ascii="Times New Roman" w:hAnsi="Times New Roman" w:eastAsia="仿宋_GB2312" w:cs="Times New Roman"/>
          <w:color w:val="auto"/>
          <w:kern w:val="0"/>
          <w:sz w:val="32"/>
          <w:szCs w:val="32"/>
          <w:lang w:val="en-US" w:eastAsia="zh-CN" w:bidi="ar-SA"/>
        </w:rPr>
        <w:t>必须全部满足</w:t>
      </w:r>
      <w:r>
        <w:rPr>
          <w:rFonts w:hint="default" w:ascii="Times New Roman" w:hAnsi="Times New Roman" w:eastAsia="仿宋_GB2312" w:cs="Times New Roman"/>
          <w:color w:val="auto"/>
          <w:kern w:val="0"/>
          <w:sz w:val="32"/>
          <w:szCs w:val="32"/>
          <w:lang w:val="en-US" w:eastAsia="zh-CN" w:bidi="ar-SA"/>
        </w:rPr>
        <w:t>要求，</w:t>
      </w:r>
      <w:r>
        <w:rPr>
          <w:rFonts w:hint="eastAsia" w:eastAsia="仿宋_GB2312" w:cs="Times New Roman"/>
          <w:color w:val="auto"/>
          <w:kern w:val="0"/>
          <w:sz w:val="32"/>
          <w:szCs w:val="32"/>
          <w:lang w:val="en-US" w:eastAsia="zh-CN" w:bidi="ar-SA"/>
        </w:rPr>
        <w:t>申请</w:t>
      </w:r>
      <w:r>
        <w:rPr>
          <w:rFonts w:hint="default" w:ascii="Times New Roman" w:hAnsi="Times New Roman" w:eastAsia="仿宋_GB2312" w:cs="Times New Roman"/>
          <w:color w:val="auto"/>
          <w:kern w:val="0"/>
          <w:sz w:val="32"/>
          <w:szCs w:val="32"/>
          <w:lang w:val="en-US" w:eastAsia="zh-CN" w:bidi="ar-SA"/>
        </w:rPr>
        <w:t>优秀企业</w:t>
      </w:r>
      <w:r>
        <w:rPr>
          <w:rFonts w:hint="eastAsia" w:eastAsia="仿宋_GB2312" w:cs="Times New Roman"/>
          <w:color w:val="auto"/>
          <w:kern w:val="0"/>
          <w:sz w:val="32"/>
          <w:szCs w:val="32"/>
          <w:lang w:val="en-US" w:eastAsia="zh-CN" w:bidi="ar-SA"/>
        </w:rPr>
        <w:t>的达标</w:t>
      </w:r>
      <w:r>
        <w:rPr>
          <w:rFonts w:hint="eastAsia" w:ascii="Times New Roman" w:hAnsi="Times New Roman" w:eastAsia="仿宋_GB2312" w:cs="Times New Roman"/>
          <w:color w:val="auto"/>
          <w:kern w:val="0"/>
          <w:sz w:val="32"/>
          <w:szCs w:val="32"/>
          <w:lang w:val="en-US" w:eastAsia="zh-CN" w:bidi="ar-SA"/>
        </w:rPr>
        <w:t>“★★”</w:t>
      </w:r>
      <w:r>
        <w:rPr>
          <w:rFonts w:hint="default" w:ascii="Times New Roman" w:hAnsi="Times New Roman" w:eastAsia="仿宋_GB2312" w:cs="Times New Roman"/>
          <w:color w:val="auto"/>
          <w:kern w:val="0"/>
          <w:sz w:val="32"/>
          <w:szCs w:val="32"/>
          <w:lang w:val="en-US" w:eastAsia="zh-CN" w:bidi="ar-SA"/>
        </w:rPr>
        <w:t>项目</w:t>
      </w:r>
      <w:r>
        <w:rPr>
          <w:rFonts w:hint="eastAsia" w:eastAsia="仿宋_GB2312" w:cs="Times New Roman"/>
          <w:color w:val="auto"/>
          <w:kern w:val="0"/>
          <w:sz w:val="32"/>
          <w:szCs w:val="32"/>
          <w:lang w:val="en-US" w:eastAsia="zh-CN" w:bidi="ar-SA"/>
        </w:rPr>
        <w:t>个数应</w:t>
      </w:r>
      <w:r>
        <w:rPr>
          <w:rFonts w:hint="default" w:ascii="Times New Roman" w:hAnsi="Times New Roman" w:eastAsia="仿宋_GB2312" w:cs="Times New Roman"/>
          <w:color w:val="auto"/>
          <w:kern w:val="0"/>
          <w:sz w:val="32"/>
          <w:szCs w:val="32"/>
          <w:lang w:val="en-US" w:eastAsia="zh-CN" w:bidi="ar-SA"/>
        </w:rPr>
        <w:t>不低于</w:t>
      </w:r>
      <w:r>
        <w:rPr>
          <w:rFonts w:hint="eastAsia" w:ascii="Times New Roman" w:hAnsi="Times New Roman" w:eastAsia="仿宋_GB2312" w:cs="Times New Roman"/>
          <w:color w:val="auto"/>
          <w:kern w:val="0"/>
          <w:sz w:val="32"/>
          <w:szCs w:val="32"/>
          <w:lang w:val="en-US" w:eastAsia="zh-CN" w:bidi="ar-SA"/>
        </w:rPr>
        <w:t>“★★”项目总个数的</w:t>
      </w:r>
      <w:r>
        <w:rPr>
          <w:rFonts w:hint="default" w:ascii="Times New Roman" w:hAnsi="Times New Roman" w:eastAsia="仿宋_GB2312" w:cs="Times New Roman"/>
          <w:color w:val="auto"/>
          <w:kern w:val="0"/>
          <w:sz w:val="32"/>
          <w:szCs w:val="32"/>
          <w:lang w:val="en-US" w:eastAsia="zh-CN" w:bidi="ar-SA"/>
        </w:rPr>
        <w:t>8</w:t>
      </w:r>
      <w:r>
        <w:rPr>
          <w:rFonts w:hint="eastAsia" w:eastAsia="仿宋_GB2312" w:cs="Times New Roman"/>
          <w:color w:val="auto"/>
          <w:kern w:val="0"/>
          <w:sz w:val="32"/>
          <w:szCs w:val="32"/>
          <w:lang w:val="en-US" w:eastAsia="zh-CN" w:bidi="ar-SA"/>
        </w:rPr>
        <w:t>0%</w:t>
      </w:r>
      <w:r>
        <w:rPr>
          <w:rFonts w:hint="default" w:ascii="Times New Roman" w:hAnsi="Times New Roman" w:eastAsia="仿宋_GB2312" w:cs="Times New Roman"/>
          <w:color w:val="auto"/>
          <w:kern w:val="0"/>
          <w:sz w:val="32"/>
          <w:szCs w:val="32"/>
          <w:lang w:val="en-US" w:eastAsia="zh-CN" w:bidi="ar-SA"/>
        </w:rPr>
        <w:t>、“★★★”</w:t>
      </w:r>
      <w:r>
        <w:rPr>
          <w:rFonts w:hint="eastAsia" w:ascii="Times New Roman" w:hAnsi="Times New Roman" w:eastAsia="仿宋_GB2312" w:cs="Times New Roman"/>
          <w:color w:val="auto"/>
          <w:kern w:val="0"/>
          <w:sz w:val="32"/>
          <w:szCs w:val="32"/>
          <w:lang w:val="en-US" w:eastAsia="zh-CN" w:bidi="ar-SA"/>
        </w:rPr>
        <w:t>全部满足</w:t>
      </w:r>
      <w:r>
        <w:rPr>
          <w:rFonts w:hint="default" w:ascii="Times New Roman" w:hAnsi="Times New Roman" w:eastAsia="仿宋_GB2312" w:cs="Times New Roman"/>
          <w:color w:val="auto"/>
          <w:kern w:val="0"/>
          <w:sz w:val="32"/>
          <w:szCs w:val="32"/>
          <w:lang w:val="en-US" w:eastAsia="zh-CN" w:bidi="ar-SA"/>
        </w:rPr>
        <w:t>要求，</w:t>
      </w:r>
      <w:r>
        <w:rPr>
          <w:rFonts w:hint="eastAsia" w:eastAsia="仿宋_GB2312" w:cs="Times New Roman"/>
          <w:color w:val="auto"/>
          <w:kern w:val="0"/>
          <w:sz w:val="32"/>
          <w:szCs w:val="32"/>
          <w:lang w:val="en-US" w:eastAsia="zh-CN" w:bidi="ar-SA"/>
        </w:rPr>
        <w:t>申请</w:t>
      </w:r>
      <w:r>
        <w:rPr>
          <w:rFonts w:hint="default" w:ascii="Times New Roman" w:hAnsi="Times New Roman" w:eastAsia="仿宋_GB2312" w:cs="Times New Roman"/>
          <w:color w:val="auto"/>
          <w:kern w:val="0"/>
          <w:sz w:val="32"/>
          <w:szCs w:val="32"/>
          <w:lang w:val="en-US" w:eastAsia="zh-CN" w:bidi="ar-SA"/>
        </w:rPr>
        <w:t>良好企业</w:t>
      </w:r>
      <w:r>
        <w:rPr>
          <w:rFonts w:hint="eastAsia" w:eastAsia="仿宋_GB2312" w:cs="Times New Roman"/>
          <w:color w:val="auto"/>
          <w:kern w:val="0"/>
          <w:sz w:val="32"/>
          <w:szCs w:val="32"/>
          <w:lang w:val="en-US" w:eastAsia="zh-CN" w:bidi="ar-SA"/>
        </w:rPr>
        <w:t>的</w:t>
      </w:r>
      <w:r>
        <w:rPr>
          <w:rFonts w:hint="default" w:ascii="Times New Roman" w:hAnsi="Times New Roman" w:eastAsia="仿宋_GB2312" w:cs="Times New Roman"/>
          <w:color w:val="auto"/>
          <w:kern w:val="0"/>
          <w:sz w:val="32"/>
          <w:szCs w:val="32"/>
          <w:lang w:val="en-US" w:eastAsia="zh-CN" w:bidi="ar-SA"/>
        </w:rPr>
        <w:t>必须全部满足“★★★”要求。</w:t>
      </w:r>
    </w:p>
    <w:p>
      <w:pPr>
        <w:pStyle w:val="32"/>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Times New Roman"/>
          <w:color w:val="auto"/>
          <w:kern w:val="0"/>
          <w:sz w:val="32"/>
          <w:szCs w:val="32"/>
          <w:lang w:val="en-US" w:eastAsia="zh-CN" w:bidi="ar-SA"/>
        </w:rPr>
      </w:pPr>
      <w:r>
        <w:rPr>
          <w:rFonts w:hint="default" w:ascii="Times New Roman" w:hAnsi="Times New Roman" w:eastAsia="仿宋_GB2312" w:cs="Times New Roman"/>
          <w:color w:val="auto"/>
          <w:kern w:val="0"/>
          <w:sz w:val="32"/>
          <w:szCs w:val="32"/>
          <w:lang w:val="en-US" w:eastAsia="zh-CN" w:bidi="ar-SA"/>
        </w:rPr>
        <w:t>3、</w:t>
      </w:r>
      <w:r>
        <w:rPr>
          <w:rFonts w:hint="eastAsia" w:ascii="Times New Roman" w:hAnsi="Times New Roman" w:eastAsia="仿宋_GB2312" w:cs="Times New Roman"/>
          <w:color w:val="auto"/>
          <w:kern w:val="0"/>
          <w:sz w:val="32"/>
          <w:szCs w:val="32"/>
          <w:lang w:val="en-US" w:eastAsia="zh-CN" w:bidi="ar-SA"/>
        </w:rPr>
        <w:t>所有指标中要求的内容，如评审企业不涉及此项工作或当地主管机关未要求开展的，视为不涉及项处理，所得总分按照千分制比例进行换算。如：某</w:t>
      </w:r>
      <w:r>
        <w:rPr>
          <w:rFonts w:hint="eastAsia" w:eastAsia="仿宋_GB2312" w:cs="Times New Roman"/>
          <w:color w:val="auto"/>
          <w:kern w:val="0"/>
          <w:sz w:val="32"/>
          <w:szCs w:val="32"/>
          <w:lang w:val="en-US" w:eastAsia="zh-CN" w:bidi="ar-SA"/>
        </w:rPr>
        <w:t>企业</w:t>
      </w:r>
      <w:r>
        <w:rPr>
          <w:rFonts w:hint="eastAsia" w:ascii="Times New Roman" w:hAnsi="Times New Roman" w:eastAsia="仿宋_GB2312" w:cs="Times New Roman"/>
          <w:color w:val="auto"/>
          <w:kern w:val="0"/>
          <w:sz w:val="32"/>
          <w:szCs w:val="32"/>
          <w:lang w:val="en-US" w:eastAsia="zh-CN" w:bidi="ar-SA"/>
        </w:rPr>
        <w:t>不涉及项分数为100分，对照千分表去除不涉及项</w:t>
      </w:r>
      <w:r>
        <w:rPr>
          <w:rFonts w:hint="eastAsia" w:eastAsia="仿宋_GB2312" w:cs="Times New Roman"/>
          <w:color w:val="auto"/>
          <w:kern w:val="0"/>
          <w:sz w:val="32"/>
          <w:szCs w:val="32"/>
          <w:lang w:val="en-US" w:eastAsia="zh-CN" w:bidi="ar-SA"/>
        </w:rPr>
        <w:t>实</w:t>
      </w:r>
      <w:r>
        <w:rPr>
          <w:rFonts w:hint="eastAsia" w:ascii="Times New Roman" w:hAnsi="Times New Roman" w:eastAsia="仿宋_GB2312" w:cs="Times New Roman"/>
          <w:color w:val="auto"/>
          <w:kern w:val="0"/>
          <w:sz w:val="32"/>
          <w:szCs w:val="32"/>
          <w:lang w:val="en-US" w:eastAsia="zh-CN" w:bidi="ar-SA"/>
        </w:rPr>
        <w:t>得分为720分，则最终评价得分为720/900×1000=800分。</w:t>
      </w:r>
    </w:p>
    <w:p>
      <w:pPr>
        <w:pStyle w:val="32"/>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eastAsia" w:eastAsia="仿宋_GB2312" w:cs="Times New Roman"/>
          <w:color w:val="auto"/>
          <w:kern w:val="0"/>
          <w:sz w:val="32"/>
          <w:szCs w:val="32"/>
          <w:lang w:val="en-US" w:eastAsia="zh-CN" w:bidi="ar-SA"/>
        </w:rPr>
        <w:t>4、</w:t>
      </w:r>
      <w:r>
        <w:rPr>
          <w:rFonts w:hint="eastAsia" w:ascii="Times New Roman" w:hAnsi="Times New Roman" w:eastAsia="仿宋_GB2312" w:cs="Times New Roman"/>
          <w:color w:val="auto"/>
          <w:kern w:val="0"/>
          <w:sz w:val="32"/>
          <w:szCs w:val="32"/>
          <w:lang w:val="en-US" w:eastAsia="zh-CN" w:bidi="ar-SA"/>
        </w:rPr>
        <w:t>示范企业最终评价得分≥9</w:t>
      </w:r>
      <w:r>
        <w:rPr>
          <w:rFonts w:hint="eastAsia" w:eastAsia="仿宋_GB2312" w:cs="Times New Roman"/>
          <w:color w:val="auto"/>
          <w:kern w:val="0"/>
          <w:sz w:val="32"/>
          <w:szCs w:val="32"/>
          <w:lang w:val="en-US" w:eastAsia="zh-CN" w:bidi="ar-SA"/>
        </w:rPr>
        <w:t>0</w:t>
      </w:r>
      <w:r>
        <w:rPr>
          <w:rFonts w:hint="eastAsia" w:ascii="Times New Roman" w:hAnsi="Times New Roman" w:eastAsia="仿宋_GB2312" w:cs="Times New Roman"/>
          <w:color w:val="auto"/>
          <w:kern w:val="0"/>
          <w:sz w:val="32"/>
          <w:szCs w:val="32"/>
          <w:lang w:val="en-US" w:eastAsia="zh-CN" w:bidi="ar-SA"/>
        </w:rPr>
        <w:t>0分；优秀企业最终评价得分≥8</w:t>
      </w:r>
      <w:r>
        <w:rPr>
          <w:rFonts w:hint="eastAsia" w:eastAsia="仿宋_GB2312" w:cs="Times New Roman"/>
          <w:color w:val="auto"/>
          <w:kern w:val="0"/>
          <w:sz w:val="32"/>
          <w:szCs w:val="32"/>
          <w:lang w:val="en-US" w:eastAsia="zh-CN" w:bidi="ar-SA"/>
        </w:rPr>
        <w:t>0</w:t>
      </w:r>
      <w:r>
        <w:rPr>
          <w:rFonts w:hint="eastAsia" w:ascii="Times New Roman" w:hAnsi="Times New Roman" w:eastAsia="仿宋_GB2312" w:cs="Times New Roman"/>
          <w:color w:val="auto"/>
          <w:kern w:val="0"/>
          <w:sz w:val="32"/>
          <w:szCs w:val="32"/>
          <w:lang w:val="en-US" w:eastAsia="zh-CN" w:bidi="ar-SA"/>
        </w:rPr>
        <w:t>0分；良好企业最终评价得分≥</w:t>
      </w:r>
      <w:r>
        <w:rPr>
          <w:rFonts w:hint="eastAsia" w:eastAsia="仿宋_GB2312" w:cs="Times New Roman"/>
          <w:color w:val="auto"/>
          <w:kern w:val="0"/>
          <w:sz w:val="32"/>
          <w:szCs w:val="32"/>
          <w:lang w:val="en-US" w:eastAsia="zh-CN" w:bidi="ar-SA"/>
        </w:rPr>
        <w:t>600</w:t>
      </w:r>
      <w:r>
        <w:rPr>
          <w:rFonts w:hint="eastAsia" w:ascii="Times New Roman" w:hAnsi="Times New Roman" w:eastAsia="仿宋_GB2312" w:cs="Times New Roman"/>
          <w:color w:val="auto"/>
          <w:kern w:val="0"/>
          <w:sz w:val="32"/>
          <w:szCs w:val="32"/>
          <w:lang w:val="en-US" w:eastAsia="zh-CN" w:bidi="ar-SA"/>
        </w:rPr>
        <w:t>分。</w:t>
      </w:r>
    </w:p>
    <w:p>
      <w:pPr>
        <w:pStyle w:val="9"/>
        <w:keepNext w:val="0"/>
        <w:keepLines w:val="0"/>
        <w:pageBreakBefore w:val="0"/>
        <w:widowControl/>
        <w:suppressLineNumbers w:val="0"/>
        <w:shd w:val="clear" w:fill="E0ECF9"/>
        <w:kinsoku/>
        <w:wordWrap/>
        <w:overflowPunct/>
        <w:topLinePunct w:val="0"/>
        <w:autoSpaceDE/>
        <w:autoSpaceDN/>
        <w:bidi w:val="0"/>
        <w:adjustRightInd/>
        <w:snapToGrid/>
        <w:ind w:firstLine="640" w:firstLineChars="200"/>
        <w:jc w:val="both"/>
        <w:textAlignment w:val="top"/>
        <w:rPr>
          <w:rFonts w:hint="eastAsia" w:ascii="Times New Roman" w:hAnsi="Times New Roman" w:eastAsia="仿宋_GB2312" w:cs="Times New Roman"/>
          <w:color w:val="auto"/>
          <w:sz w:val="32"/>
          <w:szCs w:val="32"/>
          <w:lang w:val="en-US" w:eastAsia="zh-CN"/>
        </w:rPr>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pPr>
    </w:p>
    <w:p>
      <w:pPr>
        <w:jc w:val="center"/>
        <w:rPr>
          <w:rFonts w:hint="eastAsia" w:eastAsia="宋体"/>
          <w:sz w:val="28"/>
          <w:szCs w:val="36"/>
          <w:lang w:val="en-US" w:eastAsia="zh-CN"/>
        </w:rPr>
      </w:pPr>
      <w:r>
        <w:rPr>
          <w:rFonts w:hint="default" w:ascii="宋体" w:hAnsi="宋体" w:eastAsia="宋体" w:cs="Times New Roman"/>
          <w:b/>
          <w:bCs/>
          <w:color w:val="000000"/>
          <w:kern w:val="0"/>
          <w:sz w:val="40"/>
          <w:szCs w:val="40"/>
          <w:lang w:val="en-US" w:eastAsia="zh-CN" w:bidi="ar-SA"/>
        </w:rPr>
        <w:t>道路</w:t>
      </w:r>
      <w:r>
        <w:rPr>
          <w:rFonts w:hint="eastAsia" w:ascii="宋体" w:hAnsi="宋体" w:eastAsia="宋体" w:cs="Times New Roman"/>
          <w:b/>
          <w:bCs/>
          <w:color w:val="000000"/>
          <w:kern w:val="0"/>
          <w:sz w:val="40"/>
          <w:szCs w:val="40"/>
          <w:lang w:val="en-US" w:eastAsia="zh-CN" w:bidi="ar-SA"/>
        </w:rPr>
        <w:t>普通货物</w:t>
      </w:r>
      <w:r>
        <w:rPr>
          <w:rFonts w:hint="default" w:ascii="宋体" w:hAnsi="宋体" w:eastAsia="宋体" w:cs="Times New Roman"/>
          <w:b/>
          <w:bCs/>
          <w:color w:val="000000"/>
          <w:kern w:val="0"/>
          <w:sz w:val="40"/>
          <w:szCs w:val="40"/>
          <w:lang w:val="en-US" w:eastAsia="zh-CN" w:bidi="ar-SA"/>
        </w:rPr>
        <w:t>运输</w:t>
      </w:r>
      <w:r>
        <w:rPr>
          <w:rFonts w:hint="eastAsia" w:cs="Times New Roman"/>
          <w:b/>
          <w:bCs/>
          <w:color w:val="000000"/>
          <w:kern w:val="0"/>
          <w:sz w:val="40"/>
          <w:szCs w:val="40"/>
          <w:lang w:val="en-US" w:eastAsia="zh-CN" w:bidi="ar-SA"/>
        </w:rPr>
        <w:t>企业</w:t>
      </w:r>
      <w:r>
        <w:rPr>
          <w:rFonts w:hint="eastAsia" w:ascii="宋体" w:hAnsi="宋体" w:eastAsia="宋体" w:cs="Times New Roman"/>
          <w:b/>
          <w:bCs/>
          <w:color w:val="000000"/>
          <w:kern w:val="0"/>
          <w:sz w:val="40"/>
          <w:szCs w:val="40"/>
          <w:lang w:val="en-US" w:eastAsia="zh-CN" w:bidi="ar-SA"/>
        </w:rPr>
        <w:t>安全生产标准化达标自评指南</w:t>
      </w:r>
    </w:p>
    <w:tbl>
      <w:tblPr>
        <w:tblStyle w:val="12"/>
        <w:tblW w:w="14020" w:type="dxa"/>
        <w:tblInd w:w="0" w:type="dxa"/>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Layout w:type="fixed"/>
        <w:tblCellMar>
          <w:top w:w="15" w:type="dxa"/>
          <w:left w:w="15" w:type="dxa"/>
          <w:bottom w:w="15" w:type="dxa"/>
          <w:right w:w="15" w:type="dxa"/>
        </w:tblCellMar>
      </w:tblPr>
      <w:tblGrid>
        <w:gridCol w:w="881"/>
        <w:gridCol w:w="659"/>
        <w:gridCol w:w="3209"/>
        <w:gridCol w:w="3982"/>
        <w:gridCol w:w="1200"/>
        <w:gridCol w:w="1956"/>
        <w:gridCol w:w="1155"/>
        <w:gridCol w:w="978"/>
      </w:tblGrid>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rPr>
          <w:trHeight w:val="543" w:hRule="atLeast"/>
          <w:tblHeader/>
        </w:trPr>
        <w:tc>
          <w:tcPr>
            <w:tcW w:w="881" w:type="dxa"/>
            <w:tcBorders>
              <w:tl2br w:val="nil"/>
              <w:tr2bl w:val="nil"/>
            </w:tcBorders>
            <w:shd w:val="clear" w:color="auto" w:fill="auto"/>
            <w:tcMar>
              <w:top w:w="30" w:type="dxa"/>
              <w:left w:w="90" w:type="dxa"/>
              <w:bottom w:w="30"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color w:val="auto"/>
                <w:sz w:val="22"/>
                <w:szCs w:val="22"/>
              </w:rPr>
            </w:pPr>
            <w:r>
              <w:rPr>
                <w:rFonts w:hint="eastAsia" w:ascii="Times New Roman" w:hAnsi="Times New Roman" w:eastAsia="宋体" w:cs="Times New Roman"/>
                <w:b/>
                <w:color w:val="auto"/>
                <w:kern w:val="0"/>
                <w:sz w:val="22"/>
                <w:szCs w:val="22"/>
                <w:lang w:val="en-US" w:eastAsia="zh-CN" w:bidi="ar"/>
              </w:rPr>
              <w:t>建设</w:t>
            </w:r>
            <w:r>
              <w:rPr>
                <w:rFonts w:hint="default" w:ascii="Times New Roman" w:hAnsi="Times New Roman" w:eastAsia="宋体" w:cs="Times New Roman"/>
                <w:b/>
                <w:color w:val="auto"/>
                <w:kern w:val="0"/>
                <w:sz w:val="22"/>
                <w:szCs w:val="22"/>
                <w:lang w:val="en-US" w:eastAsia="zh-CN" w:bidi="ar"/>
              </w:rPr>
              <w:t>内容</w:t>
            </w:r>
          </w:p>
        </w:tc>
        <w:tc>
          <w:tcPr>
            <w:tcW w:w="3868" w:type="dxa"/>
            <w:gridSpan w:val="2"/>
            <w:tcBorders>
              <w:tl2br w:val="nil"/>
              <w:tr2bl w:val="nil"/>
            </w:tcBorders>
            <w:shd w:val="clear" w:color="auto" w:fill="auto"/>
            <w:tcMar>
              <w:top w:w="30" w:type="dxa"/>
              <w:left w:w="90" w:type="dxa"/>
              <w:bottom w:w="30"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color w:val="auto"/>
                <w:sz w:val="22"/>
                <w:szCs w:val="22"/>
              </w:rPr>
            </w:pPr>
            <w:r>
              <w:rPr>
                <w:rFonts w:hint="eastAsia" w:ascii="Times New Roman" w:hAnsi="Times New Roman" w:eastAsia="宋体" w:cs="Times New Roman"/>
                <w:b/>
                <w:color w:val="auto"/>
                <w:kern w:val="0"/>
                <w:sz w:val="22"/>
                <w:szCs w:val="22"/>
                <w:lang w:val="en-US" w:eastAsia="zh-CN" w:bidi="ar"/>
              </w:rPr>
              <w:t>建设</w:t>
            </w:r>
            <w:r>
              <w:rPr>
                <w:rFonts w:hint="default" w:ascii="Times New Roman" w:hAnsi="Times New Roman" w:eastAsia="宋体" w:cs="Times New Roman"/>
                <w:b/>
                <w:color w:val="auto"/>
                <w:kern w:val="0"/>
                <w:sz w:val="22"/>
                <w:szCs w:val="22"/>
                <w:lang w:val="en-US" w:eastAsia="zh-CN" w:bidi="ar"/>
              </w:rPr>
              <w:t>要点</w:t>
            </w:r>
          </w:p>
        </w:tc>
        <w:tc>
          <w:tcPr>
            <w:tcW w:w="3982" w:type="dxa"/>
            <w:tcBorders>
              <w:tl2br w:val="nil"/>
              <w:tr2bl w:val="nil"/>
            </w:tcBorders>
            <w:shd w:val="clear" w:color="auto" w:fill="auto"/>
            <w:noWrap/>
            <w:tcMar>
              <w:top w:w="30" w:type="dxa"/>
              <w:left w:w="90" w:type="dxa"/>
              <w:bottom w:w="30"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color w:val="auto"/>
                <w:kern w:val="0"/>
                <w:sz w:val="22"/>
                <w:szCs w:val="22"/>
                <w:lang w:val="en-US" w:eastAsia="zh-CN" w:bidi="ar"/>
              </w:rPr>
            </w:pPr>
            <w:r>
              <w:rPr>
                <w:rFonts w:hint="eastAsia" w:ascii="Times New Roman" w:hAnsi="Times New Roman" w:eastAsia="宋体" w:cs="Times New Roman"/>
                <w:b/>
                <w:color w:val="auto"/>
                <w:kern w:val="0"/>
                <w:sz w:val="22"/>
                <w:szCs w:val="22"/>
                <w:highlight w:val="none"/>
                <w:lang w:val="en-US" w:eastAsia="zh-CN" w:bidi="ar"/>
              </w:rPr>
              <w:t>规范索引</w:t>
            </w:r>
          </w:p>
        </w:tc>
        <w:tc>
          <w:tcPr>
            <w:tcW w:w="1200" w:type="dxa"/>
            <w:tcBorders>
              <w:tl2br w:val="nil"/>
              <w:tr2bl w:val="nil"/>
            </w:tcBorders>
            <w:shd w:val="clear" w:color="auto" w:fill="auto"/>
            <w:tcMar>
              <w:top w:w="30" w:type="dxa"/>
              <w:left w:w="90" w:type="dxa"/>
              <w:bottom w:w="30"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color w:val="auto"/>
                <w:kern w:val="0"/>
                <w:sz w:val="22"/>
                <w:szCs w:val="22"/>
                <w:lang w:val="en-US" w:eastAsia="zh-CN" w:bidi="ar"/>
              </w:rPr>
            </w:pPr>
            <w:r>
              <w:rPr>
                <w:rFonts w:hint="eastAsia" w:ascii="Times New Roman" w:hAnsi="Times New Roman" w:eastAsia="宋体" w:cs="Times New Roman"/>
                <w:b/>
                <w:color w:val="auto"/>
                <w:kern w:val="0"/>
                <w:sz w:val="22"/>
                <w:szCs w:val="22"/>
                <w:lang w:val="en-US" w:eastAsia="zh-CN" w:bidi="ar"/>
              </w:rPr>
              <w:t>标准分值</w:t>
            </w:r>
          </w:p>
        </w:tc>
        <w:tc>
          <w:tcPr>
            <w:tcW w:w="1956" w:type="dxa"/>
            <w:tcBorders>
              <w:tl2br w:val="nil"/>
              <w:tr2bl w:val="nil"/>
            </w:tcBorders>
            <w:shd w:val="clear" w:color="auto" w:fill="auto"/>
            <w:tcMar>
              <w:top w:w="30" w:type="dxa"/>
              <w:left w:w="90" w:type="dxa"/>
              <w:bottom w:w="30"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color w:val="auto"/>
                <w:sz w:val="22"/>
                <w:szCs w:val="22"/>
              </w:rPr>
            </w:pPr>
            <w:r>
              <w:rPr>
                <w:rFonts w:hint="eastAsia" w:ascii="Times New Roman" w:hAnsi="Times New Roman" w:eastAsia="宋体" w:cs="Times New Roman"/>
                <w:b/>
                <w:color w:val="auto"/>
                <w:kern w:val="0"/>
                <w:sz w:val="22"/>
                <w:szCs w:val="22"/>
                <w:lang w:val="en-US" w:eastAsia="zh-CN" w:bidi="ar"/>
              </w:rPr>
              <w:t>建设标准</w:t>
            </w:r>
          </w:p>
        </w:tc>
        <w:tc>
          <w:tcPr>
            <w:tcW w:w="1155" w:type="dxa"/>
            <w:tcBorders>
              <w:tl2br w:val="nil"/>
              <w:tr2bl w:val="nil"/>
            </w:tcBorders>
            <w:shd w:val="clear" w:color="auto" w:fill="auto"/>
            <w:tcMar>
              <w:top w:w="30" w:type="dxa"/>
              <w:left w:w="90" w:type="dxa"/>
              <w:bottom w:w="30" w:type="dxa"/>
              <w:right w:w="90" w:type="dxa"/>
            </w:tcMar>
            <w:vAlign w:val="center"/>
          </w:tcPr>
          <w:p>
            <w:pPr>
              <w:widowControl/>
              <w:jc w:val="center"/>
              <w:rPr>
                <w:rFonts w:hint="eastAsia" w:asciiTheme="minorEastAsia" w:hAnsiTheme="minorEastAsia" w:eastAsiaTheme="minorEastAsia" w:cstheme="minorEastAsia"/>
                <w:b/>
                <w:bCs/>
                <w:kern w:val="0"/>
                <w:sz w:val="21"/>
                <w:szCs w:val="21"/>
                <w:lang w:val="en-US" w:eastAsia="zh-CN" w:bidi="ar-SA"/>
              </w:rPr>
            </w:pPr>
            <w:r>
              <w:rPr>
                <w:rFonts w:hint="eastAsia" w:asciiTheme="minorEastAsia" w:hAnsiTheme="minorEastAsia" w:cstheme="minorEastAsia"/>
                <w:b/>
                <w:bCs/>
                <w:kern w:val="0"/>
                <w:szCs w:val="21"/>
              </w:rPr>
              <w:t>评价记录</w:t>
            </w:r>
          </w:p>
        </w:tc>
        <w:tc>
          <w:tcPr>
            <w:tcW w:w="978" w:type="dxa"/>
            <w:tcBorders>
              <w:tl2br w:val="nil"/>
              <w:tr2bl w:val="nil"/>
            </w:tcBorders>
            <w:shd w:val="clear" w:color="auto" w:fill="auto"/>
            <w:tcMar>
              <w:top w:w="30" w:type="dxa"/>
              <w:left w:w="90" w:type="dxa"/>
              <w:bottom w:w="30" w:type="dxa"/>
              <w:right w:w="90" w:type="dxa"/>
            </w:tcMar>
            <w:vAlign w:val="center"/>
          </w:tcPr>
          <w:p>
            <w:pPr>
              <w:widowControl/>
              <w:jc w:val="center"/>
              <w:rPr>
                <w:rFonts w:hint="eastAsia" w:asciiTheme="minorEastAsia" w:hAnsiTheme="minorEastAsia" w:eastAsiaTheme="minorEastAsia" w:cstheme="minorEastAsia"/>
                <w:b/>
                <w:bCs/>
                <w:kern w:val="0"/>
                <w:sz w:val="21"/>
                <w:szCs w:val="21"/>
                <w:lang w:val="en-US" w:eastAsia="zh-CN" w:bidi="ar-SA"/>
              </w:rPr>
            </w:pPr>
            <w:r>
              <w:rPr>
                <w:rFonts w:hint="eastAsia" w:asciiTheme="minorEastAsia" w:hAnsiTheme="minorEastAsia" w:cstheme="minorEastAsia"/>
                <w:b/>
                <w:bCs/>
                <w:kern w:val="0"/>
                <w:szCs w:val="21"/>
              </w:rPr>
              <w:t>得分</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88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一、</w:t>
            </w:r>
            <w:r>
              <w:rPr>
                <w:rFonts w:hint="default" w:ascii="Times New Roman" w:hAnsi="Times New Roman" w:eastAsia="宋体" w:cs="Times New Roman"/>
                <w:color w:val="auto"/>
                <w:kern w:val="0"/>
                <w:sz w:val="22"/>
                <w:szCs w:val="22"/>
                <w:lang w:val="en-US" w:eastAsia="zh-CN" w:bidi="ar"/>
              </w:rPr>
              <w:t>目标与考核</w:t>
            </w: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0分</w:t>
            </w:r>
          </w:p>
        </w:tc>
        <w:tc>
          <w:tcPr>
            <w:tcW w:w="65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 xml:space="preserve">1.1 </w:t>
            </w:r>
            <w:r>
              <w:rPr>
                <w:rFonts w:hint="eastAsia" w:ascii="Times New Roman" w:hAnsi="Times New Roman" w:eastAsia="宋体" w:cs="Times New Roman"/>
                <w:color w:val="auto"/>
                <w:kern w:val="0"/>
                <w:sz w:val="22"/>
                <w:szCs w:val="22"/>
                <w:lang w:val="en-US" w:eastAsia="zh-CN" w:bidi="ar"/>
              </w:rPr>
              <w:t>目标（15分）</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企业应结合实际制定安全生产目标。安全生产目标应： 符合或严于相关法律法规要求； 形成文件，并得到本企业所有从业人员的贯彻和实施； 与企业的职业安全健康风险相适应；具有可考核性，体现企业持续改进的承诺</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安全生产目标是指在一定条件下，一定时间内完成安全活动所达到的某一预期目的的指标。安全生产目标的制定应切合企业实际，要求内容明确，并可制定出具体的、量化的安全考核指标</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企业应根据安全生产目标制定可考核的安全生产工作指标，指标应不低于上级下达的目标</w:t>
            </w:r>
            <w:r>
              <w:rPr>
                <w:rFonts w:hint="eastAsia"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安全生产目标应以文件形式正式发布，使全体员工和相关方获知</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4"/>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未</w:t>
            </w:r>
            <w:r>
              <w:rPr>
                <w:rFonts w:hint="default" w:ascii="Times New Roman" w:hAnsi="Times New Roman" w:eastAsia="宋体" w:cs="Times New Roman"/>
                <w:color w:val="auto"/>
                <w:kern w:val="0"/>
                <w:sz w:val="22"/>
                <w:szCs w:val="22"/>
                <w:lang w:val="en-US" w:eastAsia="zh-CN" w:bidi="ar"/>
              </w:rPr>
              <w:t>制定符合要求的安全生产目标</w:t>
            </w:r>
            <w:r>
              <w:rPr>
                <w:rFonts w:hint="eastAsia" w:ascii="Times New Roman" w:hAnsi="Times New Roman" w:eastAsia="宋体" w:cs="Times New Roman"/>
                <w:color w:val="auto"/>
                <w:kern w:val="0"/>
                <w:sz w:val="22"/>
                <w:szCs w:val="22"/>
                <w:lang w:val="en-US" w:eastAsia="zh-CN" w:bidi="ar"/>
              </w:rPr>
              <w:t>，不符合</w:t>
            </w:r>
          </w:p>
          <w:p>
            <w:pPr>
              <w:keepNext w:val="0"/>
              <w:keepLines w:val="0"/>
              <w:pageBreakBefore w:val="0"/>
              <w:widowControl/>
              <w:numPr>
                <w:ilvl w:val="0"/>
                <w:numId w:val="4"/>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安全生产目标</w:t>
            </w:r>
            <w:r>
              <w:rPr>
                <w:rFonts w:hint="eastAsia" w:ascii="Times New Roman" w:hAnsi="Times New Roman" w:eastAsia="宋体" w:cs="Times New Roman"/>
                <w:color w:val="auto"/>
                <w:kern w:val="0"/>
                <w:sz w:val="22"/>
                <w:szCs w:val="22"/>
                <w:lang w:val="en-US" w:eastAsia="zh-CN" w:bidi="ar"/>
              </w:rPr>
              <w:t>未</w:t>
            </w:r>
            <w:r>
              <w:rPr>
                <w:rFonts w:hint="default" w:ascii="Times New Roman" w:hAnsi="Times New Roman" w:eastAsia="宋体" w:cs="Times New Roman"/>
                <w:color w:val="auto"/>
                <w:kern w:val="0"/>
                <w:sz w:val="22"/>
                <w:szCs w:val="22"/>
                <w:lang w:val="en-US" w:eastAsia="zh-CN" w:bidi="ar"/>
              </w:rPr>
              <w:t>正式发布、贯彻和实施</w:t>
            </w:r>
            <w:r>
              <w:rPr>
                <w:rFonts w:hint="eastAsia" w:ascii="Times New Roman" w:hAnsi="Times New Roman" w:eastAsia="宋体" w:cs="Times New Roman"/>
                <w:color w:val="auto"/>
                <w:kern w:val="0"/>
                <w:sz w:val="22"/>
                <w:szCs w:val="22"/>
                <w:lang w:val="en-US" w:eastAsia="zh-CN" w:bidi="ar"/>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cs="Times New Roman" w:eastAsiaTheme="minorEastAsia"/>
                <w:color w:val="auto"/>
                <w:kern w:val="0"/>
                <w:sz w:val="22"/>
                <w:szCs w:val="22"/>
                <w:lang w:val="en-US" w:eastAsia="zh-CN" w:bidi="ar"/>
              </w:rPr>
            </w:pPr>
            <w:r>
              <w:rPr>
                <w:rFonts w:hint="eastAsia" w:asciiTheme="minorEastAsia" w:hAnsiTheme="minorEastAsia" w:eastAsiaTheme="minorEastAsia" w:cstheme="minorEastAsia"/>
                <w:bCs/>
                <w:sz w:val="22"/>
                <w:szCs w:val="22"/>
              </w:rPr>
              <w:t>企业应将安全生产工作指标进行细化和分解</w:t>
            </w:r>
            <w:r>
              <w:rPr>
                <w:rFonts w:hint="eastAsia" w:asciiTheme="minorEastAsia" w:hAnsiTheme="minorEastAsia" w:cstheme="minorEastAsia"/>
                <w:bCs/>
                <w:sz w:val="22"/>
                <w:szCs w:val="22"/>
                <w:lang w:eastAsia="zh-CN"/>
              </w:rPr>
              <w:t>，</w:t>
            </w:r>
            <w:r>
              <w:rPr>
                <w:rFonts w:hint="eastAsia" w:asciiTheme="minorEastAsia" w:hAnsiTheme="minorEastAsia" w:eastAsiaTheme="minorEastAsia" w:cstheme="minorEastAsia"/>
                <w:bCs/>
                <w:sz w:val="22"/>
                <w:szCs w:val="22"/>
              </w:rPr>
              <w:t>制定安全生产年度计划</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heme="minorEastAsia" w:hAnsiTheme="minorEastAsia" w:eastAsiaTheme="minorEastAsia" w:cstheme="minorEastAsia"/>
                <w:bCs/>
                <w:sz w:val="22"/>
                <w:szCs w:val="22"/>
                <w:lang w:eastAsia="zh-CN"/>
              </w:rPr>
            </w:pPr>
            <w:r>
              <w:rPr>
                <w:rFonts w:hint="eastAsia" w:asciiTheme="minorEastAsia" w:hAnsiTheme="minorEastAsia" w:cstheme="minorEastAsia"/>
                <w:bCs/>
                <w:sz w:val="22"/>
                <w:szCs w:val="22"/>
                <w:lang w:val="en-US" w:eastAsia="zh-CN"/>
              </w:rPr>
              <w:t>1.</w:t>
            </w:r>
            <w:r>
              <w:rPr>
                <w:rFonts w:hint="eastAsia" w:asciiTheme="minorEastAsia" w:hAnsiTheme="minorEastAsia" w:eastAsiaTheme="minorEastAsia" w:cstheme="minorEastAsia"/>
                <w:bCs/>
                <w:sz w:val="22"/>
                <w:szCs w:val="22"/>
              </w:rPr>
              <w:t>企业</w:t>
            </w:r>
            <w:r>
              <w:rPr>
                <w:rFonts w:hint="eastAsia" w:asciiTheme="minorEastAsia" w:hAnsiTheme="minorEastAsia" w:cstheme="minorEastAsia"/>
                <w:bCs/>
                <w:sz w:val="22"/>
                <w:szCs w:val="22"/>
                <w:lang w:val="en-US" w:eastAsia="zh-CN"/>
              </w:rPr>
              <w:t>应将</w:t>
            </w:r>
            <w:r>
              <w:rPr>
                <w:rFonts w:hint="eastAsia" w:asciiTheme="minorEastAsia" w:hAnsiTheme="minorEastAsia" w:eastAsiaTheme="minorEastAsia" w:cstheme="minorEastAsia"/>
                <w:bCs/>
                <w:sz w:val="22"/>
                <w:szCs w:val="22"/>
              </w:rPr>
              <w:t>年度的安全生产目标逐级细化分解，落实到每个单位、部门、班组或岗位。通过对指标进行考核，以激励全体职工的积极性，从而保证指标的完成</w:t>
            </w:r>
            <w:r>
              <w:rPr>
                <w:rFonts w:hint="eastAsia" w:asciiTheme="minorEastAsia" w:hAnsiTheme="minorEastAsia" w:cstheme="minorEastAsia"/>
                <w:bCs/>
                <w:sz w:val="22"/>
                <w:szCs w:val="22"/>
                <w:lang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cs="Times New Roman" w:eastAsiaTheme="minorEastAsia"/>
                <w:color w:val="auto"/>
                <w:kern w:val="0"/>
                <w:sz w:val="22"/>
                <w:szCs w:val="22"/>
                <w:lang w:val="en-US" w:eastAsia="zh-CN" w:bidi="ar"/>
              </w:rPr>
            </w:pPr>
            <w:r>
              <w:rPr>
                <w:rFonts w:hint="eastAsia" w:asciiTheme="minorEastAsia" w:hAnsiTheme="minorEastAsia" w:cstheme="minorEastAsia"/>
                <w:bCs/>
                <w:sz w:val="22"/>
                <w:szCs w:val="22"/>
                <w:lang w:val="en-US" w:eastAsia="zh-CN"/>
              </w:rPr>
              <w:t>2.</w:t>
            </w:r>
            <w:r>
              <w:rPr>
                <w:rFonts w:hint="eastAsia" w:asciiTheme="minorEastAsia" w:hAnsiTheme="minorEastAsia" w:eastAsiaTheme="minorEastAsia" w:cstheme="minorEastAsia"/>
                <w:bCs/>
                <w:sz w:val="22"/>
                <w:szCs w:val="22"/>
              </w:rPr>
              <w:t>企业每年年初应在上一年度生产安全管理取得成果的基础之上，针对生产安全过程中存在的不足制定本年度的生产安全年度计划</w:t>
            </w:r>
            <w:r>
              <w:rPr>
                <w:rFonts w:hint="eastAsia" w:asciiTheme="minorEastAsia" w:hAnsiTheme="minorEastAsia" w:cstheme="minorEastAsia"/>
                <w:bCs/>
                <w:sz w:val="22"/>
                <w:szCs w:val="22"/>
                <w:lang w:eastAsia="zh-CN"/>
              </w:rPr>
              <w:t>，</w:t>
            </w:r>
            <w:r>
              <w:rPr>
                <w:rFonts w:hint="eastAsia" w:asciiTheme="minorEastAsia" w:hAnsiTheme="minorEastAsia" w:eastAsiaTheme="minorEastAsia" w:cstheme="minorEastAsia"/>
                <w:bCs/>
                <w:sz w:val="22"/>
                <w:szCs w:val="22"/>
              </w:rPr>
              <w:t>进一步细化工作，使其更具有正对性和操做性</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FF0000"/>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heme="minorEastAsia" w:hAnsiTheme="minorEastAsia" w:eastAsiaTheme="minorEastAsia" w:cstheme="minorEastAsia"/>
                <w:bCs/>
                <w:kern w:val="2"/>
                <w:sz w:val="22"/>
                <w:szCs w:val="22"/>
                <w:lang w:val="en-US" w:eastAsia="zh-CN" w:bidi="ar-SA"/>
              </w:rPr>
            </w:pPr>
            <w:r>
              <w:rPr>
                <w:rFonts w:hint="eastAsia" w:asciiTheme="minorEastAsia" w:hAnsiTheme="minorEastAsia" w:cstheme="minorEastAsia"/>
                <w:bCs/>
                <w:kern w:val="2"/>
                <w:sz w:val="22"/>
                <w:szCs w:val="22"/>
                <w:lang w:val="en-US" w:eastAsia="zh-CN" w:bidi="ar-SA"/>
              </w:rPr>
              <w:t>1.</w:t>
            </w:r>
            <w:r>
              <w:rPr>
                <w:rFonts w:hint="default" w:asciiTheme="minorEastAsia" w:hAnsiTheme="minorEastAsia" w:eastAsiaTheme="minorEastAsia" w:cstheme="minorEastAsia"/>
                <w:bCs/>
                <w:kern w:val="2"/>
                <w:sz w:val="22"/>
                <w:szCs w:val="22"/>
                <w:lang w:val="en-US" w:eastAsia="zh-CN" w:bidi="ar-SA"/>
              </w:rPr>
              <w:t>未细化和分解安全生产工作指标</w:t>
            </w:r>
            <w:r>
              <w:rPr>
                <w:rFonts w:hint="eastAsia" w:asciiTheme="minorEastAsia" w:hAnsiTheme="minorEastAsia" w:cstheme="minorEastAsia"/>
                <w:bCs/>
                <w:kern w:val="2"/>
                <w:sz w:val="22"/>
                <w:szCs w:val="22"/>
                <w:lang w:val="en-US" w:eastAsia="zh-CN" w:bidi="ar-SA"/>
              </w:rPr>
              <w:t>，不符合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eastAsiaTheme="minorEastAsia"/>
                <w:sz w:val="22"/>
                <w:szCs w:val="22"/>
                <w:lang w:val="en-US" w:eastAsia="zh-CN"/>
              </w:rPr>
            </w:pPr>
            <w:r>
              <w:rPr>
                <w:rFonts w:hint="eastAsia"/>
                <w:sz w:val="22"/>
                <w:szCs w:val="22"/>
                <w:lang w:val="en-US" w:eastAsia="zh-CN"/>
              </w:rPr>
              <w:t>2.</w:t>
            </w:r>
            <w:r>
              <w:rPr>
                <w:rFonts w:hint="eastAsia"/>
                <w:sz w:val="22"/>
                <w:szCs w:val="22"/>
              </w:rPr>
              <w:t>未制定安全生产年度计划</w:t>
            </w:r>
            <w:r>
              <w:rPr>
                <w:rFonts w:hint="eastAsia"/>
                <w:sz w:val="22"/>
                <w:szCs w:val="22"/>
                <w:lang w:eastAsia="zh-CN"/>
              </w:rPr>
              <w:t>，</w:t>
            </w:r>
            <w:r>
              <w:rPr>
                <w:rFonts w:hint="eastAsia"/>
                <w:sz w:val="22"/>
                <w:szCs w:val="22"/>
                <w:lang w:val="en-US" w:eastAsia="zh-CN"/>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sz w:val="22"/>
                <w:szCs w:val="22"/>
                <w:lang w:val="en-US" w:eastAsia="zh-CN"/>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sz w:val="22"/>
                <w:szCs w:val="22"/>
                <w:lang w:val="en-US" w:eastAsia="zh-CN"/>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2考核（5分）</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企业应建立安全生产目标考核与奖惩的相关制度，并定期对安全生产目标完成情况予以考核与奖惩</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要结合实际，按照组织机构及下属单位在安全生产中可能面临的风险大小，将企业年度的安全生产目标逐级细化分解，落实到公司、部门、岗位。通过对指标进行考核，以激励全体员工的积极性，从而保证指标的完成</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0070C0"/>
                <w:kern w:val="0"/>
                <w:sz w:val="22"/>
                <w:szCs w:val="22"/>
                <w:lang w:val="en-US" w:eastAsia="zh-CN" w:bidi="ar"/>
              </w:rPr>
              <w:t xml:space="preserve">★ </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5"/>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auto"/>
                <w:kern w:val="0"/>
                <w:sz w:val="22"/>
                <w:szCs w:val="22"/>
                <w:lang w:val="en-US" w:eastAsia="zh-CN" w:bidi="ar"/>
              </w:rPr>
              <w:t>未对指标完成情况进行考核或考核不完整不合理的，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p>
            <w:pPr>
              <w:keepNext w:val="0"/>
              <w:keepLines w:val="0"/>
              <w:pageBreakBefore w:val="0"/>
              <w:widowControl/>
              <w:numPr>
                <w:ilvl w:val="0"/>
                <w:numId w:val="5"/>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未进行考核的，</w:t>
            </w:r>
            <w:r>
              <w:rPr>
                <w:rFonts w:hint="eastAsia" w:ascii="Times New Roman" w:hAnsi="Times New Roman" w:eastAsia="宋体" w:cs="Times New Roman"/>
                <w:color w:val="auto"/>
                <w:kern w:val="0"/>
                <w:sz w:val="22"/>
                <w:szCs w:val="22"/>
                <w:lang w:val="en-US" w:eastAsia="zh-CN" w:bidi="ar"/>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二、</w:t>
            </w:r>
            <w:r>
              <w:rPr>
                <w:rFonts w:hint="default" w:ascii="Times New Roman" w:hAnsi="Times New Roman" w:eastAsia="宋体" w:cs="Times New Roman"/>
                <w:color w:val="auto"/>
                <w:kern w:val="0"/>
                <w:sz w:val="22"/>
                <w:szCs w:val="22"/>
                <w:lang w:val="en-US" w:eastAsia="zh-CN" w:bidi="ar"/>
              </w:rPr>
              <w:t xml:space="preserve"> 机构设置与职责 </w:t>
            </w:r>
            <w:r>
              <w:rPr>
                <w:rFonts w:hint="eastAsia" w:ascii="Times New Roman" w:hAnsi="Times New Roman" w:eastAsia="宋体" w:cs="Times New Roman"/>
                <w:color w:val="auto"/>
                <w:kern w:val="0"/>
                <w:sz w:val="22"/>
                <w:szCs w:val="22"/>
                <w:lang w:val="en-US" w:eastAsia="zh-CN" w:bidi="ar"/>
              </w:rPr>
              <w:t>90</w:t>
            </w:r>
            <w:r>
              <w:rPr>
                <w:rFonts w:hint="default" w:ascii="Times New Roman" w:hAnsi="Times New Roman" w:eastAsia="宋体" w:cs="Times New Roman"/>
                <w:color w:val="auto"/>
                <w:kern w:val="0"/>
                <w:sz w:val="22"/>
                <w:szCs w:val="22"/>
                <w:lang w:val="en-US" w:eastAsia="zh-CN" w:bidi="ar"/>
              </w:rPr>
              <w:t>分</w:t>
            </w:r>
          </w:p>
        </w:tc>
        <w:tc>
          <w:tcPr>
            <w:tcW w:w="65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2.1 机构设置及人员配备</w:t>
            </w:r>
            <w:r>
              <w:rPr>
                <w:rFonts w:hint="eastAsia" w:ascii="Times New Roman" w:hAnsi="Times New Roman" w:eastAsia="宋体" w:cs="Times New Roman"/>
                <w:color w:val="auto"/>
                <w:kern w:val="0"/>
                <w:sz w:val="22"/>
                <w:szCs w:val="22"/>
                <w:lang w:val="en-US" w:eastAsia="zh-CN" w:bidi="ar"/>
              </w:rPr>
              <w:t>（6</w:t>
            </w:r>
            <w:r>
              <w:rPr>
                <w:rFonts w:hint="default" w:ascii="Times New Roman" w:hAnsi="Times New Roman" w:eastAsia="宋体" w:cs="Times New Roman"/>
                <w:color w:val="auto"/>
                <w:kern w:val="0"/>
                <w:sz w:val="22"/>
                <w:szCs w:val="22"/>
                <w:lang w:val="en-US" w:eastAsia="zh-CN" w:bidi="ar"/>
              </w:rPr>
              <w:t>0分</w:t>
            </w:r>
            <w:r>
              <w:rPr>
                <w:rFonts w:hint="eastAsia" w:ascii="Times New Roman" w:hAnsi="Times New Roman" w:eastAsia="宋体" w:cs="Times New Roman"/>
                <w:color w:val="auto"/>
                <w:kern w:val="0"/>
                <w:sz w:val="22"/>
                <w:szCs w:val="22"/>
                <w:lang w:val="en-US" w:eastAsia="zh-CN" w:bidi="ar"/>
              </w:rPr>
              <w:t>）</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企业应建立以企业主要负责人为领导的安全生产委员会（或安全生产领导小组），并应职责明确。应建立健全从安全生产委员会（或安全生产领导小组）至基层班组的安全生产管理网络</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生产委员会（或者领导小组），负责统一领导本企业的安全生产工作，决策企业安全生产的重大问题。安委会主任（或领导小组组长）应当由企业安全生产第一责任人担任。安委会（或领导小组）应当建立工作制度和例会制度</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企业安全生产委员会(领导小组)应包括主要负责人、分管负责人和各管理部门及分支机构负责人</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FF0000"/>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1.未以文件形式成立安全生产委员会（或者领导小组），并未明确职责的，不符合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2.安全生产委员会（或者领导小组）成员未包括主要负责人、部门负责人等相关人员的，不符合；4.未建立安全生产管理网络图或者覆盖不全的，不符合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2"/>
                <w:szCs w:val="22"/>
                <w:highlight w:val="none"/>
                <w:lang w:val="en-US" w:eastAsia="zh-CN" w:bidi="ar"/>
              </w:rPr>
              <w:fldChar w:fldCharType="begin"/>
            </w:r>
            <w:r>
              <w:rPr>
                <w:rFonts w:hint="default" w:ascii="Times New Roman" w:hAnsi="Times New Roman" w:eastAsia="宋体" w:cs="Times New Roman"/>
                <w:color w:val="auto"/>
                <w:kern w:val="0"/>
                <w:sz w:val="22"/>
                <w:szCs w:val="22"/>
                <w:highlight w:val="none"/>
                <w:lang w:val="en-US" w:eastAsia="zh-CN" w:bidi="ar"/>
              </w:rPr>
              <w:instrText xml:space="preserve"> = 2 \* GB3 \* MERGEFORMAT </w:instrText>
            </w:r>
            <w:r>
              <w:rPr>
                <w:rFonts w:hint="default" w:ascii="Times New Roman" w:hAnsi="Times New Roman" w:eastAsia="宋体" w:cs="Times New Roman"/>
                <w:color w:val="auto"/>
                <w:kern w:val="0"/>
                <w:sz w:val="22"/>
                <w:szCs w:val="22"/>
                <w:highlight w:val="none"/>
                <w:lang w:val="en-US" w:eastAsia="zh-CN" w:bidi="ar"/>
              </w:rPr>
              <w:fldChar w:fldCharType="separate"/>
            </w:r>
            <w:r>
              <w:rPr>
                <w:rFonts w:hint="default" w:ascii="Times New Roman" w:hAnsi="Times New Roman" w:eastAsia="宋体" w:cs="Times New Roman"/>
                <w:color w:val="auto"/>
                <w:kern w:val="0"/>
                <w:sz w:val="22"/>
                <w:szCs w:val="22"/>
                <w:highlight w:val="none"/>
                <w:lang w:val="en-US" w:eastAsia="zh-CN" w:bidi="ar"/>
              </w:rPr>
              <w:t>②</w:t>
            </w:r>
            <w:r>
              <w:rPr>
                <w:rFonts w:hint="default" w:ascii="Times New Roman" w:hAnsi="Times New Roman" w:eastAsia="宋体" w:cs="Times New Roman"/>
                <w:color w:val="auto"/>
                <w:kern w:val="0"/>
                <w:sz w:val="22"/>
                <w:szCs w:val="22"/>
                <w:highlight w:val="none"/>
                <w:lang w:val="en-US" w:eastAsia="zh-CN" w:bidi="ar"/>
              </w:rPr>
              <w:fldChar w:fldCharType="end"/>
            </w:r>
            <w:r>
              <w:rPr>
                <w:rFonts w:hint="default" w:ascii="Times New Roman" w:hAnsi="Times New Roman" w:eastAsia="宋体" w:cs="Times New Roman"/>
                <w:color w:val="auto"/>
                <w:kern w:val="0"/>
                <w:sz w:val="22"/>
                <w:szCs w:val="22"/>
                <w:highlight w:val="none"/>
                <w:lang w:val="en-US" w:eastAsia="zh-CN" w:bidi="ar"/>
              </w:rPr>
              <w:t>按规定设置与企业规模相适应且独立的安全生产管理机构</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企业注册有20辆车以上的，应设置安全管理机构。</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sz w:val="22"/>
                <w:szCs w:val="22"/>
                <w:lang w:val="en-US" w:eastAsia="zh-CN"/>
              </w:rPr>
              <w:t>1.</w:t>
            </w:r>
            <w:r>
              <w:rPr>
                <w:rFonts w:hint="default" w:ascii="Times New Roman" w:hAnsi="Times New Roman" w:eastAsia="宋体" w:cs="Times New Roman"/>
                <w:color w:val="auto"/>
                <w:sz w:val="22"/>
                <w:szCs w:val="22"/>
              </w:rPr>
              <w:t>未设置安全</w:t>
            </w:r>
            <w:r>
              <w:rPr>
                <w:rFonts w:hint="default" w:ascii="Times New Roman" w:hAnsi="Times New Roman" w:eastAsia="宋体" w:cs="Times New Roman"/>
                <w:color w:val="auto"/>
                <w:sz w:val="22"/>
                <w:szCs w:val="22"/>
                <w:lang w:val="en-US" w:eastAsia="zh-CN"/>
              </w:rPr>
              <w:t>生产</w:t>
            </w:r>
            <w:r>
              <w:rPr>
                <w:rFonts w:hint="default" w:ascii="Times New Roman" w:hAnsi="Times New Roman" w:eastAsia="宋体" w:cs="Times New Roman"/>
                <w:color w:val="auto"/>
                <w:sz w:val="22"/>
                <w:szCs w:val="22"/>
              </w:rPr>
              <w:t>管理机构</w:t>
            </w:r>
            <w:r>
              <w:rPr>
                <w:rFonts w:hint="default" w:ascii="Times New Roman" w:hAnsi="Times New Roman" w:eastAsia="宋体" w:cs="Times New Roman"/>
                <w:color w:val="auto"/>
                <w:sz w:val="22"/>
                <w:szCs w:val="22"/>
                <w:lang w:val="en-US" w:eastAsia="zh-CN"/>
              </w:rPr>
              <w:t>或未配备专职安全管理人员</w:t>
            </w:r>
            <w:r>
              <w:rPr>
                <w:rFonts w:hint="default" w:ascii="Times New Roman" w:hAnsi="Times New Roman" w:eastAsia="宋体" w:cs="Times New Roman"/>
                <w:color w:val="auto"/>
                <w:sz w:val="22"/>
                <w:szCs w:val="22"/>
              </w:rPr>
              <w:t>，</w:t>
            </w:r>
            <w:r>
              <w:rPr>
                <w:rFonts w:hint="eastAsia" w:ascii="Times New Roman" w:hAnsi="Times New Roman" w:eastAsia="宋体" w:cs="Times New Roman"/>
                <w:color w:val="auto"/>
                <w:sz w:val="22"/>
                <w:szCs w:val="22"/>
                <w:lang w:eastAsia="zh-CN"/>
              </w:rPr>
              <w:t>不符合</w:t>
            </w:r>
            <w:r>
              <w:rPr>
                <w:rFonts w:hint="default" w:ascii="Times New Roman" w:hAnsi="Times New Roman" w:eastAsia="宋体" w:cs="Times New Roman"/>
                <w:color w:val="auto"/>
                <w:sz w:val="22"/>
                <w:szCs w:val="22"/>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2.</w:t>
            </w:r>
            <w:r>
              <w:rPr>
                <w:rFonts w:hint="default" w:ascii="Times New Roman" w:hAnsi="Times New Roman" w:eastAsia="宋体" w:cs="Times New Roman"/>
                <w:color w:val="auto"/>
                <w:sz w:val="22"/>
                <w:szCs w:val="22"/>
                <w:lang w:val="en-US" w:eastAsia="zh-CN"/>
              </w:rPr>
              <w:t>未明确</w:t>
            </w:r>
            <w:r>
              <w:rPr>
                <w:rFonts w:hint="default" w:ascii="Times New Roman" w:hAnsi="Times New Roman" w:eastAsia="宋体" w:cs="Times New Roman"/>
                <w:color w:val="auto"/>
                <w:sz w:val="22"/>
                <w:szCs w:val="22"/>
              </w:rPr>
              <w:t>安全管理机构设置</w:t>
            </w:r>
            <w:r>
              <w:rPr>
                <w:rFonts w:hint="default" w:ascii="Times New Roman" w:hAnsi="Times New Roman" w:eastAsia="宋体" w:cs="Times New Roman"/>
                <w:color w:val="auto"/>
                <w:sz w:val="22"/>
                <w:szCs w:val="22"/>
                <w:lang w:val="en-US" w:eastAsia="zh-CN"/>
              </w:rPr>
              <w:t>职责</w:t>
            </w:r>
            <w:r>
              <w:rPr>
                <w:rFonts w:hint="default" w:ascii="Times New Roman" w:hAnsi="Times New Roman" w:eastAsia="宋体" w:cs="Times New Roman"/>
                <w:color w:val="auto"/>
                <w:sz w:val="22"/>
                <w:szCs w:val="22"/>
              </w:rPr>
              <w:t>的，</w:t>
            </w:r>
            <w:r>
              <w:rPr>
                <w:rFonts w:hint="eastAsia" w:ascii="Times New Roman" w:hAnsi="Times New Roman" w:eastAsia="宋体" w:cs="Times New Roman"/>
                <w:color w:val="auto"/>
                <w:sz w:val="22"/>
                <w:szCs w:val="22"/>
                <w:lang w:eastAsia="zh-CN"/>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企业应定期召开安全生产委员会或安全生产领导小组会议。安全生产管理机构或下属分支机构每月至少召开一次安全工作例会</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企业应当定期召开安全生产工作会议和安全例会。安全生产工作会议至少 每季度召开1次，研究解决安全生产中的重大问题，安排部署阶段性安全生产工作。安全例会至少每月召开1次，通报和布置落实各项安全生产工作。</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遇有特殊情况和发生重、特大事故时应及时召开安全分析通报会议。安委会会议和安全例会应当有会议记录，会议记录应建档保存至少3年</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sz w:val="22"/>
                <w:szCs w:val="22"/>
                <w14:textFill>
                  <w14:solidFill>
                    <w14:schemeClr w14:val="tx1"/>
                  </w14:solidFill>
                </w14:textFill>
              </w:rPr>
            </w:pPr>
            <w:r>
              <w:rPr>
                <w:rFonts w:hint="default" w:ascii="Times New Roman" w:hAnsi="Times New Roman" w:eastAsia="宋体" w:cs="Times New Roman"/>
                <w:color w:val="000000" w:themeColor="text1"/>
                <w:sz w:val="22"/>
                <w:szCs w:val="22"/>
                <w14:textFill>
                  <w14:solidFill>
                    <w14:schemeClr w14:val="tx1"/>
                  </w14:solidFill>
                </w14:textFill>
              </w:rPr>
              <w:t>1.</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未建立工作制度和例会制度的，</w:t>
            </w:r>
            <w:r>
              <w:rPr>
                <w:rFonts w:hint="default" w:ascii="Times New Roman" w:hAnsi="Times New Roman" w:eastAsia="宋体" w:cs="Times New Roman"/>
                <w:color w:val="000000" w:themeColor="text1"/>
                <w:sz w:val="22"/>
                <w:szCs w:val="22"/>
                <w14:textFill>
                  <w14:solidFill>
                    <w14:schemeClr w14:val="tx1"/>
                  </w14:solidFill>
                </w14:textFill>
              </w:rPr>
              <w:t>不符合</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sz w:val="22"/>
                <w:szCs w:val="22"/>
                <w14:textFill>
                  <w14:solidFill>
                    <w14:schemeClr w14:val="tx1"/>
                  </w14:solidFill>
                </w14:textFill>
              </w:rPr>
            </w:pPr>
            <w:r>
              <w:rPr>
                <w:rFonts w:hint="eastAsia" w:ascii="Times New Roman" w:hAnsi="Times New Roman" w:eastAsia="宋体" w:cs="Times New Roman"/>
                <w:color w:val="000000" w:themeColor="text1"/>
                <w:sz w:val="22"/>
                <w:szCs w:val="22"/>
                <w:lang w:val="en-US" w:eastAsia="zh-CN"/>
                <w14:textFill>
                  <w14:solidFill>
                    <w14:schemeClr w14:val="tx1"/>
                  </w14:solidFill>
                </w14:textFill>
              </w:rPr>
              <w:t>2.</w:t>
            </w:r>
            <w:r>
              <w:rPr>
                <w:rFonts w:hint="default" w:ascii="Times New Roman" w:hAnsi="Times New Roman" w:eastAsia="宋体" w:cs="Times New Roman"/>
                <w:color w:val="000000" w:themeColor="text1"/>
                <w:sz w:val="22"/>
                <w:szCs w:val="22"/>
                <w14:textFill>
                  <w14:solidFill>
                    <w14:schemeClr w14:val="tx1"/>
                  </w14:solidFill>
                </w14:textFill>
              </w:rPr>
              <w:t>未定期召开安全专题会的，不分；</w:t>
            </w:r>
            <w:r>
              <w:rPr>
                <w:rFonts w:hint="eastAsia" w:ascii="Times New Roman" w:hAnsi="Times New Roman" w:eastAsia="宋体" w:cs="Times New Roman"/>
                <w:color w:val="000000" w:themeColor="text1"/>
                <w:sz w:val="22"/>
                <w:szCs w:val="22"/>
                <w:lang w:val="en-US" w:eastAsia="zh-CN"/>
                <w14:textFill>
                  <w14:solidFill>
                    <w14:schemeClr w14:val="tx1"/>
                  </w14:solidFill>
                </w14:textFill>
              </w:rPr>
              <w:t>3</w:t>
            </w:r>
            <w:r>
              <w:rPr>
                <w:rFonts w:hint="default" w:ascii="Times New Roman" w:hAnsi="Times New Roman" w:eastAsia="宋体" w:cs="Times New Roman"/>
                <w:color w:val="000000" w:themeColor="text1"/>
                <w:sz w:val="22"/>
                <w:szCs w:val="22"/>
                <w14:textFill>
                  <w14:solidFill>
                    <w14:schemeClr w14:val="tx1"/>
                  </w14:solidFill>
                </w14:textFill>
              </w:rPr>
              <w:t>.未跟踪上次会议工作要求落实情况的或未制订新的工作要求的，不符合；</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sz w:val="22"/>
                <w:szCs w:val="22"/>
                <w:lang w:eastAsia="zh-CN"/>
              </w:rPr>
            </w:pPr>
            <w:r>
              <w:rPr>
                <w:rFonts w:hint="eastAsia" w:ascii="Times New Roman" w:hAnsi="Times New Roman" w:eastAsia="宋体" w:cs="Times New Roman"/>
                <w:color w:val="000000" w:themeColor="text1"/>
                <w:sz w:val="22"/>
                <w:szCs w:val="22"/>
                <w:lang w:val="en-US" w:eastAsia="zh-CN"/>
                <w14:textFill>
                  <w14:solidFill>
                    <w14:schemeClr w14:val="tx1"/>
                  </w14:solidFill>
                </w14:textFill>
              </w:rPr>
              <w:t>4</w:t>
            </w:r>
            <w:r>
              <w:rPr>
                <w:rFonts w:hint="default" w:ascii="Times New Roman" w:hAnsi="Times New Roman" w:eastAsia="宋体" w:cs="Times New Roman"/>
                <w:color w:val="000000" w:themeColor="text1"/>
                <w:sz w:val="22"/>
                <w:szCs w:val="22"/>
                <w14:textFill>
                  <w14:solidFill>
                    <w14:schemeClr w14:val="tx1"/>
                  </w14:solidFill>
                </w14:textFill>
              </w:rPr>
              <w:t>.无会议记录的，不符合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sz w:val="22"/>
                <w:szCs w:val="22"/>
                <w:lang w:val="en-US" w:eastAsia="zh-CN"/>
                <w14:textFill>
                  <w14:solidFill>
                    <w14:schemeClr w14:val="tx1"/>
                  </w14:solidFill>
                </w14:textFill>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sz w:val="22"/>
                <w:szCs w:val="22"/>
                <w:lang w:val="en-US" w:eastAsia="zh-CN"/>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2.2 安全管理人员</w:t>
            </w:r>
            <w:r>
              <w:rPr>
                <w:rFonts w:hint="eastAsia" w:ascii="Times New Roman" w:hAnsi="Times New Roman" w:eastAsia="宋体" w:cs="Times New Roman"/>
                <w:color w:val="auto"/>
                <w:kern w:val="0"/>
                <w:sz w:val="22"/>
                <w:szCs w:val="22"/>
                <w:lang w:val="en-US" w:eastAsia="zh-CN" w:bidi="ar"/>
              </w:rPr>
              <w:t>（30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highlight w:val="none"/>
                <w:lang w:val="en-US" w:eastAsia="zh-CN" w:bidi="ar"/>
              </w:rPr>
            </w:pPr>
            <w:r>
              <w:rPr>
                <w:rFonts w:hint="default" w:ascii="Times New Roman" w:hAnsi="Times New Roman" w:eastAsia="宋体" w:cs="Times New Roman"/>
                <w:color w:val="auto"/>
                <w:kern w:val="0"/>
                <w:sz w:val="22"/>
                <w:szCs w:val="22"/>
                <w:highlight w:val="none"/>
                <w:lang w:val="en-US" w:eastAsia="zh-CN" w:bidi="ar"/>
              </w:rPr>
              <w:t>企业应按规定配备专（兼）职安全生产</w:t>
            </w:r>
            <w:r>
              <w:rPr>
                <w:rFonts w:hint="eastAsia" w:ascii="Times New Roman" w:hAnsi="Times New Roman" w:eastAsia="宋体" w:cs="Times New Roman"/>
                <w:color w:val="auto"/>
                <w:kern w:val="0"/>
                <w:sz w:val="22"/>
                <w:szCs w:val="22"/>
                <w:highlight w:val="none"/>
                <w:lang w:val="en-US" w:eastAsia="zh-CN" w:bidi="ar"/>
              </w:rPr>
              <w:t>管理</w:t>
            </w:r>
            <w:r>
              <w:rPr>
                <w:rFonts w:hint="default" w:ascii="Times New Roman" w:hAnsi="Times New Roman" w:eastAsia="宋体" w:cs="Times New Roman"/>
                <w:color w:val="auto"/>
                <w:kern w:val="0"/>
                <w:sz w:val="22"/>
                <w:szCs w:val="22"/>
                <w:highlight w:val="none"/>
                <w:lang w:val="en-US" w:eastAsia="zh-CN" w:bidi="ar"/>
              </w:rPr>
              <w:t>人员</w:t>
            </w:r>
            <w:r>
              <w:rPr>
                <w:rFonts w:hint="eastAsia" w:ascii="Times New Roman" w:hAnsi="Times New Roman" w:eastAsia="宋体" w:cs="Times New Roman"/>
                <w:color w:val="auto"/>
                <w:kern w:val="0"/>
                <w:sz w:val="22"/>
                <w:szCs w:val="22"/>
                <w:highlight w:val="none"/>
                <w:lang w:val="en-US" w:eastAsia="zh-CN" w:bidi="ar"/>
              </w:rPr>
              <w:t>；安好以下要求配备：</w:t>
            </w:r>
          </w:p>
          <w:p>
            <w:pPr>
              <w:keepNext w:val="0"/>
              <w:keepLines w:val="0"/>
              <w:pageBreakBefore w:val="0"/>
              <w:widowControl/>
              <w:numPr>
                <w:ilvl w:val="0"/>
                <w:numId w:val="6"/>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20辆车以下的企业，配备专职安全管理员1人；</w:t>
            </w:r>
          </w:p>
          <w:p>
            <w:pPr>
              <w:keepNext w:val="0"/>
              <w:keepLines w:val="0"/>
              <w:pageBreakBefore w:val="0"/>
              <w:widowControl/>
              <w:numPr>
                <w:ilvl w:val="0"/>
                <w:numId w:val="6"/>
              </w:numPr>
              <w:suppressLineNumbers w:val="0"/>
              <w:kinsoku/>
              <w:wordWrap/>
              <w:overflowPunct/>
              <w:topLinePunct w:val="0"/>
              <w:autoSpaceDE/>
              <w:autoSpaceDN/>
              <w:bidi w:val="0"/>
              <w:adjustRightInd/>
              <w:snapToGrid/>
              <w:spacing w:line="280" w:lineRule="exact"/>
              <w:ind w:left="0" w:leftChars="0" w:firstLine="0" w:firstLineChars="0"/>
              <w:jc w:val="left"/>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20至50辆设置管理机构，配备专职安全管理人员2人；</w:t>
            </w:r>
          </w:p>
          <w:p>
            <w:pPr>
              <w:keepNext w:val="0"/>
              <w:keepLines w:val="0"/>
              <w:pageBreakBefore w:val="0"/>
              <w:widowControl/>
              <w:numPr>
                <w:ilvl w:val="0"/>
                <w:numId w:val="6"/>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highlight w:val="none"/>
                <w:lang w:val="en-US" w:eastAsia="zh-CN" w:bidi="ar"/>
              </w:rPr>
              <w:t>50辆以上设置管理机构，配备专职安全管理人员2人，每增加50辆车，增加安全管理人员1人；</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《中华人民共和国安全生产法》第二十</w:t>
            </w:r>
            <w:r>
              <w:rPr>
                <w:rFonts w:hint="eastAsia" w:ascii="Times New Roman" w:hAnsi="Times New Roman" w:eastAsia="宋体" w:cs="Times New Roman"/>
                <w:color w:val="auto"/>
                <w:kern w:val="0"/>
                <w:sz w:val="22"/>
                <w:szCs w:val="22"/>
                <w:lang w:val="en-US" w:eastAsia="zh-CN" w:bidi="ar"/>
              </w:rPr>
              <w:t>四</w:t>
            </w:r>
            <w:r>
              <w:rPr>
                <w:rFonts w:hint="default" w:ascii="Times New Roman" w:hAnsi="Times New Roman" w:eastAsia="宋体" w:cs="Times New Roman"/>
                <w:color w:val="auto"/>
                <w:kern w:val="0"/>
                <w:sz w:val="22"/>
                <w:szCs w:val="22"/>
                <w:lang w:val="en-US" w:eastAsia="zh-CN" w:bidi="ar"/>
              </w:rPr>
              <w:t>条规定</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矿山、金属冶炼、建筑施工、运输单位和危险物品的生产、经营、储存、装卸单位，应当设置安全生产管理机构或者配备专职安全生产管理人员。第二十</w:t>
            </w:r>
            <w:r>
              <w:rPr>
                <w:rFonts w:hint="eastAsia" w:ascii="Times New Roman" w:hAnsi="Times New Roman" w:eastAsia="宋体" w:cs="Times New Roman"/>
                <w:color w:val="auto"/>
                <w:kern w:val="0"/>
                <w:sz w:val="22"/>
                <w:szCs w:val="22"/>
                <w:lang w:val="en-US" w:eastAsia="zh-CN" w:bidi="ar"/>
              </w:rPr>
              <w:t>一</w:t>
            </w:r>
            <w:r>
              <w:rPr>
                <w:rFonts w:hint="default" w:ascii="Times New Roman" w:hAnsi="Times New Roman" w:eastAsia="宋体" w:cs="Times New Roman"/>
                <w:color w:val="auto"/>
                <w:kern w:val="0"/>
                <w:sz w:val="22"/>
                <w:szCs w:val="22"/>
                <w:lang w:val="en-US" w:eastAsia="zh-CN" w:bidi="ar"/>
              </w:rPr>
              <w:t>条规定，生产经营单位的主要负责人和安全生产管理人员必须具备与本单位所从事的生产经营活动相应的安全生产知识和管理能力。道路运输单位的主要负责人和安全生产管理人员，应当由主管的负有安全生产监督管理职责的部门对其安全生产知识和管理能力考核合格。考核不得收费。</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30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7"/>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未配备专职安全管理人员的，</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7"/>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安全管理人员未经主管机关考核合格的，</w:t>
            </w:r>
            <w:r>
              <w:rPr>
                <w:rFonts w:hint="eastAsia" w:ascii="Times New Roman" w:hAnsi="Times New Roman" w:eastAsia="宋体" w:cs="Times New Roman"/>
                <w:color w:val="auto"/>
                <w:kern w:val="0"/>
                <w:sz w:val="22"/>
                <w:szCs w:val="22"/>
                <w:lang w:val="en-US" w:eastAsia="zh-CN" w:bidi="ar"/>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三、</w:t>
            </w:r>
            <w:r>
              <w:rPr>
                <w:rFonts w:hint="default" w:ascii="Times New Roman" w:hAnsi="Times New Roman" w:eastAsia="宋体" w:cs="Times New Roman"/>
                <w:color w:val="auto"/>
                <w:kern w:val="0"/>
                <w:sz w:val="22"/>
                <w:szCs w:val="22"/>
                <w:lang w:val="en-US" w:eastAsia="zh-CN" w:bidi="ar"/>
              </w:rPr>
              <w:t xml:space="preserve"> 安全责任体系 </w:t>
            </w:r>
            <w:r>
              <w:rPr>
                <w:rFonts w:hint="eastAsia" w:ascii="Times New Roman" w:hAnsi="Times New Roman" w:eastAsia="宋体" w:cs="Times New Roman"/>
                <w:color w:val="auto"/>
                <w:kern w:val="0"/>
                <w:sz w:val="22"/>
                <w:szCs w:val="22"/>
                <w:lang w:val="en-US" w:eastAsia="zh-CN" w:bidi="ar"/>
              </w:rPr>
              <w:t>55</w:t>
            </w:r>
            <w:r>
              <w:rPr>
                <w:rFonts w:hint="default" w:ascii="Times New Roman" w:hAnsi="Times New Roman" w:eastAsia="宋体" w:cs="Times New Roman"/>
                <w:color w:val="auto"/>
                <w:kern w:val="0"/>
                <w:sz w:val="22"/>
                <w:szCs w:val="22"/>
                <w:lang w:val="en-US" w:eastAsia="zh-CN" w:bidi="ar"/>
              </w:rPr>
              <w:t>分</w:t>
            </w:r>
          </w:p>
        </w:tc>
        <w:tc>
          <w:tcPr>
            <w:tcW w:w="65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3.1 健全责任制</w:t>
            </w:r>
            <w:r>
              <w:rPr>
                <w:rFonts w:hint="eastAsia" w:ascii="Times New Roman" w:hAnsi="Times New Roman" w:eastAsia="宋体" w:cs="Times New Roman"/>
                <w:color w:val="auto"/>
                <w:kern w:val="0"/>
                <w:sz w:val="22"/>
                <w:szCs w:val="22"/>
                <w:lang w:val="en-US" w:eastAsia="zh-CN" w:bidi="ar"/>
              </w:rPr>
              <w:t>（35</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 xml:space="preserve"> </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sz w:val="22"/>
                <w:szCs w:val="22"/>
              </w:rPr>
              <w:t>企业应建立安全生产责任制，明确安全生产委员会（或安全生产领导小组）、安全生产管理机构、各职能部门、</w:t>
            </w:r>
            <w:r>
              <w:rPr>
                <w:rFonts w:hint="default" w:ascii="Times New Roman" w:hAnsi="Times New Roman" w:eastAsia="宋体" w:cs="Times New Roman"/>
                <w:color w:val="auto"/>
                <w:sz w:val="22"/>
                <w:szCs w:val="22"/>
                <w:lang w:val="en-US" w:eastAsia="zh-CN"/>
              </w:rPr>
              <w:t>各岗位</w:t>
            </w:r>
            <w:r>
              <w:rPr>
                <w:rFonts w:hint="default" w:ascii="Times New Roman" w:hAnsi="Times New Roman" w:eastAsia="宋体" w:cs="Times New Roman"/>
                <w:color w:val="auto"/>
                <w:sz w:val="22"/>
                <w:szCs w:val="22"/>
              </w:rPr>
              <w:t>的安全生产职责，层层签订安全生产责任书</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1.《</w:t>
            </w:r>
            <w:r>
              <w:rPr>
                <w:rFonts w:hint="eastAsia" w:ascii="Times New Roman" w:hAnsi="Times New Roman" w:eastAsia="宋体" w:cs="Times New Roman"/>
                <w:color w:val="auto"/>
                <w:sz w:val="22"/>
                <w:szCs w:val="22"/>
              </w:rPr>
              <w:t>安全生产法</w:t>
            </w:r>
            <w:r>
              <w:rPr>
                <w:rFonts w:hint="eastAsia" w:ascii="Times New Roman" w:hAnsi="Times New Roman" w:eastAsia="宋体" w:cs="Times New Roman"/>
                <w:color w:val="auto"/>
                <w:sz w:val="22"/>
                <w:szCs w:val="22"/>
                <w:lang w:val="en-US" w:eastAsia="zh-CN"/>
              </w:rPr>
              <w:t>》</w:t>
            </w:r>
            <w:r>
              <w:rPr>
                <w:rFonts w:hint="eastAsia" w:ascii="Times New Roman" w:hAnsi="Times New Roman" w:eastAsia="宋体" w:cs="Times New Roman"/>
                <w:color w:val="auto"/>
                <w:sz w:val="22"/>
                <w:szCs w:val="22"/>
              </w:rPr>
              <w:t>第四条规定</w:t>
            </w:r>
            <w:r>
              <w:rPr>
                <w:rFonts w:hint="eastAsia" w:ascii="Times New Roman" w:hAnsi="Times New Roman" w:eastAsia="宋体" w:cs="Times New Roman"/>
                <w:color w:val="auto"/>
                <w:sz w:val="22"/>
                <w:szCs w:val="22"/>
                <w:lang w:eastAsia="zh-CN"/>
              </w:rPr>
              <w:t>“</w:t>
            </w:r>
            <w:r>
              <w:rPr>
                <w:rFonts w:hint="eastAsia" w:ascii="Times New Roman" w:hAnsi="Times New Roman" w:eastAsia="宋体" w:cs="Times New Roman"/>
                <w:color w:val="auto"/>
                <w:sz w:val="22"/>
                <w:szCs w:val="22"/>
              </w:rPr>
              <w:t>建立健全全员安全生产责任制和安全生产规章制度，加大对安全生产资金、物资、技术、人员的投入保障力度，改善安全生产条件，加强安全生产标准化、信息化建设，构建安全风险分级管控和隐患排查治理双重预防机制，健全风险防范化解机制，提高安全生产水平，确保安全生产。</w:t>
            </w:r>
            <w:r>
              <w:rPr>
                <w:rFonts w:hint="eastAsia" w:ascii="Times New Roman" w:hAnsi="Times New Roman" w:eastAsia="宋体" w:cs="Times New Roman"/>
                <w:color w:val="auto"/>
                <w:sz w:val="22"/>
                <w:szCs w:val="22"/>
                <w:lang w:eastAsia="zh-CN"/>
              </w:rPr>
              <w:t>”</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8"/>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未制定安全生产管理部门和岗位职责，</w:t>
            </w:r>
            <w:r>
              <w:rPr>
                <w:rFonts w:hint="eastAsia" w:ascii="Times New Roman" w:hAnsi="Times New Roman" w:eastAsia="宋体" w:cs="Times New Roman"/>
                <w:color w:val="auto"/>
                <w:sz w:val="22"/>
                <w:szCs w:val="22"/>
                <w:lang w:eastAsia="zh-CN"/>
              </w:rPr>
              <w:t>不符合</w:t>
            </w:r>
            <w:r>
              <w:rPr>
                <w:rFonts w:hint="default" w:ascii="Times New Roman" w:hAnsi="Times New Roman" w:eastAsia="宋体" w:cs="Times New Roman"/>
                <w:color w:val="auto"/>
                <w:sz w:val="22"/>
                <w:szCs w:val="22"/>
              </w:rPr>
              <w:t>；</w:t>
            </w:r>
          </w:p>
          <w:p>
            <w:pPr>
              <w:keepNext w:val="0"/>
              <w:keepLines w:val="0"/>
              <w:pageBreakBefore w:val="0"/>
              <w:widowControl/>
              <w:numPr>
                <w:ilvl w:val="0"/>
                <w:numId w:val="8"/>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sz w:val="22"/>
                <w:szCs w:val="22"/>
                <w:lang w:eastAsia="zh-CN"/>
              </w:rPr>
            </w:pPr>
            <w:r>
              <w:rPr>
                <w:rFonts w:hint="default" w:ascii="Times New Roman" w:hAnsi="Times New Roman" w:eastAsia="宋体" w:cs="Times New Roman"/>
                <w:color w:val="auto"/>
                <w:sz w:val="22"/>
                <w:szCs w:val="22"/>
              </w:rPr>
              <w:t>未签订安全生产责任书，</w:t>
            </w:r>
            <w:r>
              <w:rPr>
                <w:rFonts w:hint="eastAsia" w:ascii="Times New Roman" w:hAnsi="Times New Roman" w:eastAsia="宋体" w:cs="Times New Roman"/>
                <w:color w:val="auto"/>
                <w:sz w:val="22"/>
                <w:szCs w:val="22"/>
                <w:lang w:eastAsia="zh-CN"/>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企业主要负责人或实际控制人是本企业安全生产第一责任人，对本企业安全生产工作全面负责，负全面组织领导、管理责任和法律责任，并履行安全生产的责任和义务</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企业安全生产第一责任人一般为企业总经理或总裁，根据安全生产法相关规定，生产经营单位的主要负责人对本单位的安全生产工作全面负责。</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生产经营单位的主要负责人对本单位安全生产工作负有下列职责：</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（一）建立健全并落实本单位全员安全生产责任制，加强安全生产标准化建设；</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（二）组织制定并实施本单位安全生产规章制度和操作规程；</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（三）组织制定并实施本单位安全生产教育和培训计划；</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（四）保证本单位安全生产投入的有效实施；</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（五）组织建立并落实安全风险分级管控和隐患排查治理双重预防工作机制，督促、检查本单位的安全生产工作，及时消除生产安全事故隐患；</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（六）组织制定并实施本单位的生产安全事故应急救援预案；</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（七）及时、如实报告生产安全事故</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企业安全生产第一责任人职责应符合法规要求；</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2.企业安全生产第一责任人应熟知其安全责任</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3.2 责任制考评</w:t>
            </w: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0分</w:t>
            </w:r>
            <w:r>
              <w:rPr>
                <w:rFonts w:hint="eastAsia" w:ascii="Times New Roman" w:hAnsi="Times New Roman" w:eastAsia="宋体" w:cs="Times New Roman"/>
                <w:color w:val="auto"/>
                <w:kern w:val="0"/>
                <w:sz w:val="22"/>
                <w:szCs w:val="22"/>
                <w:lang w:val="en-US" w:eastAsia="zh-CN" w:bidi="ar"/>
              </w:rPr>
              <w:t>）</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企业应根据安全生产责任进行定期考核和奖惩，并公布考评结果和奖惩情况</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《安全生产法》</w:t>
            </w:r>
            <w:r>
              <w:rPr>
                <w:rFonts w:hint="default" w:ascii="Times New Roman" w:hAnsi="Times New Roman" w:eastAsia="宋体" w:cs="Times New Roman"/>
                <w:color w:val="auto"/>
                <w:kern w:val="0"/>
                <w:sz w:val="22"/>
                <w:szCs w:val="22"/>
                <w:lang w:val="en-US" w:eastAsia="zh-CN" w:bidi="ar"/>
              </w:rPr>
              <w:t>第二十二条</w:t>
            </w:r>
            <w:r>
              <w:rPr>
                <w:rFonts w:hint="eastAsia" w:ascii="Times New Roman" w:hAnsi="Times New Roman" w:eastAsia="宋体" w:cs="Times New Roman"/>
                <w:color w:val="auto"/>
                <w:kern w:val="0"/>
                <w:sz w:val="22"/>
                <w:szCs w:val="22"/>
                <w:lang w:val="en-US" w:eastAsia="zh-CN" w:bidi="ar"/>
              </w:rPr>
              <w:t xml:space="preserve"> </w:t>
            </w:r>
            <w:r>
              <w:rPr>
                <w:rFonts w:hint="default" w:ascii="Times New Roman" w:hAnsi="Times New Roman" w:eastAsia="宋体" w:cs="Times New Roman"/>
                <w:color w:val="auto"/>
                <w:kern w:val="0"/>
                <w:sz w:val="22"/>
                <w:szCs w:val="22"/>
                <w:lang w:val="en-US" w:eastAsia="zh-CN" w:bidi="ar"/>
              </w:rPr>
              <w:t>生产经营单位的全员安全生产责任制应当明确各岗位的责任人员、责任范围和考核标准等内容。</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生产经营单位应当建立相应的机制，加强对全员安全生产责任制落实情况的监督考核，保证全员安全生产责任制的落实</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FF0000"/>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1</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未全面开展安全生产责任制考核</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2.未依据安全生产责任制考核结果进行奖惩</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3</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未公布安全生产责任制考核结果和奖惩情况</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1525" w:hRule="atLeast"/>
        </w:trPr>
        <w:tc>
          <w:tcPr>
            <w:tcW w:w="88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四、</w:t>
            </w:r>
            <w:r>
              <w:rPr>
                <w:rFonts w:hint="default" w:ascii="Times New Roman" w:hAnsi="Times New Roman" w:eastAsia="宋体" w:cs="Times New Roman"/>
                <w:color w:val="auto"/>
                <w:kern w:val="0"/>
                <w:sz w:val="22"/>
                <w:szCs w:val="22"/>
                <w:lang w:val="en-US" w:eastAsia="zh-CN" w:bidi="ar"/>
              </w:rPr>
              <w:t xml:space="preserve">法规和安全管理制度 </w:t>
            </w:r>
            <w:r>
              <w:rPr>
                <w:rFonts w:hint="eastAsia" w:ascii="Times New Roman" w:hAnsi="Times New Roman" w:eastAsia="宋体" w:cs="Times New Roman"/>
                <w:color w:val="auto"/>
                <w:kern w:val="0"/>
                <w:sz w:val="22"/>
                <w:szCs w:val="22"/>
                <w:lang w:val="en-US" w:eastAsia="zh-CN" w:bidi="ar"/>
              </w:rPr>
              <w:t>50</w:t>
            </w:r>
            <w:r>
              <w:rPr>
                <w:rFonts w:hint="default" w:ascii="Times New Roman" w:hAnsi="Times New Roman" w:eastAsia="宋体" w:cs="Times New Roman"/>
                <w:color w:val="auto"/>
                <w:kern w:val="0"/>
                <w:sz w:val="22"/>
                <w:szCs w:val="22"/>
                <w:lang w:val="en-US" w:eastAsia="zh-CN" w:bidi="ar"/>
              </w:rPr>
              <w:t>分</w:t>
            </w:r>
          </w:p>
        </w:tc>
        <w:tc>
          <w:tcPr>
            <w:tcW w:w="65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4.1 资质</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5分</w:t>
            </w:r>
            <w:r>
              <w:rPr>
                <w:rFonts w:hint="eastAsia" w:ascii="Times New Roman" w:hAnsi="Times New Roman" w:eastAsia="宋体" w:cs="Times New Roman"/>
                <w:color w:val="auto"/>
                <w:kern w:val="0"/>
                <w:sz w:val="22"/>
                <w:szCs w:val="22"/>
                <w:lang w:val="en-US" w:eastAsia="zh-CN" w:bidi="ar"/>
              </w:rPr>
              <w:t>）</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《道路运输经营许可证》、《企业法人营业执照》合法有效，经营范围符合要求</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《道路运输经营许可证》、《企业法人营业执照》名称一致；《企业法人营业执照》登记的经营范围中包括《道路运输经营许可证》核定的经营范围</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《道路运输经营许可证》、《企业法人营业执照》失效、企业名称不一致、经营范围与实际业务不相符</w:t>
            </w:r>
            <w:r>
              <w:rPr>
                <w:rFonts w:hint="eastAsia" w:ascii="Times New Roman" w:hAnsi="Times New Roman" w:eastAsia="宋体" w:cs="Times New Roman"/>
                <w:color w:val="auto"/>
                <w:kern w:val="0"/>
                <w:sz w:val="22"/>
                <w:szCs w:val="22"/>
                <w:lang w:val="en-US" w:eastAsia="zh-CN" w:bidi="ar"/>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4.2 法律法规与标准规范</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企业应制定及时识别、获取适用的安全生产法律法规、规范标准及其他要求的管理制度，明确责任部门，建立清单和文本（或电子）档案，并定期发布</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生产法律法规、标准规范是企业在安全生产经营过程中一切行为准则的基础和根本，是企业制定本单位规章制度、操作规程、应急预案等管理制度文件的依据和原则。识别适用的安全生产法律法规、标准规范有利于企业安全生产规章制度体系的建立，有利于规范自身安全生产管理</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0070C0"/>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1</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未建立识别和获取适用的安全生产法律法规、标准规范的管理制度，</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2</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未建立已辨识的法律法规清单文本数据库，</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3.已辨识的法律法规存在失效、不适用的，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4.3 安全生产管理制度</w:t>
            </w:r>
            <w:r>
              <w:rPr>
                <w:rFonts w:hint="eastAsia" w:ascii="Times New Roman" w:hAnsi="Times New Roman" w:eastAsia="宋体" w:cs="Times New Roman"/>
                <w:color w:val="auto"/>
                <w:kern w:val="0"/>
                <w:sz w:val="22"/>
                <w:szCs w:val="22"/>
                <w:lang w:val="en-US" w:eastAsia="zh-CN" w:bidi="ar"/>
              </w:rPr>
              <w:t>（15</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企业应建立健全安全生产管理制度，包含但不限于以下制度：</w:t>
            </w: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安全生产责任制度；</w:t>
            </w: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安全生产教育培训制度；</w:t>
            </w:r>
            <w:r>
              <w:rPr>
                <w:rFonts w:hint="eastAsia" w:ascii="Times New Roman" w:hAnsi="Times New Roman" w:eastAsia="宋体" w:cs="Times New Roman"/>
                <w:color w:val="auto"/>
                <w:kern w:val="0"/>
                <w:sz w:val="22"/>
                <w:szCs w:val="22"/>
                <w:lang w:val="en-US" w:eastAsia="zh-CN" w:bidi="ar"/>
              </w:rPr>
              <w:t>（3）驾驶员管理制度</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（4）</w:t>
            </w:r>
            <w:r>
              <w:rPr>
                <w:rFonts w:hint="default" w:ascii="Times New Roman" w:hAnsi="Times New Roman" w:eastAsia="宋体" w:cs="Times New Roman"/>
                <w:color w:val="auto"/>
                <w:kern w:val="0"/>
                <w:sz w:val="22"/>
                <w:szCs w:val="22"/>
                <w:lang w:val="en-US" w:eastAsia="zh-CN" w:bidi="ar"/>
              </w:rPr>
              <w:t>车辆</w:t>
            </w:r>
            <w:r>
              <w:rPr>
                <w:rFonts w:hint="eastAsia" w:ascii="Times New Roman" w:hAnsi="Times New Roman" w:eastAsia="宋体" w:cs="Times New Roman"/>
                <w:color w:val="auto"/>
                <w:kern w:val="0"/>
                <w:sz w:val="22"/>
                <w:szCs w:val="22"/>
                <w:lang w:val="en-US" w:eastAsia="zh-CN" w:bidi="ar"/>
              </w:rPr>
              <w:t>技术管理制度；（5）法律法规、标准及其他要求的识别与获取管理制度</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（6）</w:t>
            </w:r>
            <w:r>
              <w:rPr>
                <w:rFonts w:hint="default" w:ascii="Times New Roman" w:hAnsi="Times New Roman" w:eastAsia="宋体" w:cs="Times New Roman"/>
                <w:color w:val="auto"/>
                <w:kern w:val="0"/>
                <w:sz w:val="22"/>
                <w:szCs w:val="22"/>
                <w:lang w:val="en-US" w:eastAsia="zh-CN" w:bidi="ar"/>
              </w:rPr>
              <w:t>安全生产考核与奖惩制度；</w:t>
            </w:r>
            <w:r>
              <w:rPr>
                <w:rFonts w:hint="eastAsia" w:ascii="Times New Roman" w:hAnsi="Times New Roman" w:eastAsia="宋体" w:cs="Times New Roman"/>
                <w:color w:val="auto"/>
                <w:kern w:val="0"/>
                <w:sz w:val="22"/>
                <w:szCs w:val="22"/>
                <w:lang w:val="en-US" w:eastAsia="zh-CN" w:bidi="ar"/>
              </w:rPr>
              <w:t>（7）</w:t>
            </w:r>
            <w:r>
              <w:rPr>
                <w:rFonts w:hint="default" w:ascii="Times New Roman" w:hAnsi="Times New Roman" w:eastAsia="宋体" w:cs="Times New Roman"/>
                <w:color w:val="auto"/>
                <w:kern w:val="0"/>
                <w:sz w:val="22"/>
                <w:szCs w:val="22"/>
                <w:lang w:val="en-US" w:eastAsia="zh-CN" w:bidi="ar"/>
              </w:rPr>
              <w:t>应急救援预案制度；</w:t>
            </w:r>
            <w:r>
              <w:rPr>
                <w:rFonts w:hint="eastAsia" w:ascii="Times New Roman" w:hAnsi="Times New Roman" w:eastAsia="宋体" w:cs="Times New Roman"/>
                <w:color w:val="auto"/>
                <w:kern w:val="0"/>
                <w:sz w:val="22"/>
                <w:szCs w:val="22"/>
                <w:lang w:val="en-US" w:eastAsia="zh-CN" w:bidi="ar"/>
              </w:rPr>
              <w:t>（8）</w:t>
            </w:r>
            <w:r>
              <w:rPr>
                <w:rFonts w:hint="default" w:ascii="Times New Roman" w:hAnsi="Times New Roman" w:eastAsia="宋体" w:cs="Times New Roman"/>
                <w:color w:val="auto"/>
                <w:kern w:val="0"/>
                <w:sz w:val="22"/>
                <w:szCs w:val="22"/>
                <w:lang w:val="en-US" w:eastAsia="zh-CN" w:bidi="ar"/>
              </w:rPr>
              <w:t>安全事故报告、统计与处理制度；</w:t>
            </w:r>
            <w:r>
              <w:rPr>
                <w:rFonts w:hint="eastAsia" w:ascii="Times New Roman" w:hAnsi="Times New Roman" w:eastAsia="宋体" w:cs="Times New Roman"/>
                <w:color w:val="auto"/>
                <w:kern w:val="0"/>
                <w:sz w:val="22"/>
                <w:szCs w:val="22"/>
                <w:lang w:val="en-US" w:eastAsia="zh-CN" w:bidi="ar"/>
              </w:rPr>
              <w:t>（9）</w:t>
            </w:r>
            <w:r>
              <w:rPr>
                <w:rFonts w:hint="default" w:ascii="Times New Roman" w:hAnsi="Times New Roman" w:eastAsia="宋体" w:cs="Times New Roman"/>
                <w:color w:val="auto"/>
                <w:kern w:val="0"/>
                <w:sz w:val="22"/>
                <w:szCs w:val="22"/>
                <w:lang w:val="en-US" w:eastAsia="zh-CN" w:bidi="ar"/>
              </w:rPr>
              <w:t>安全生产工作会议制度；</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安全生产费用管理制度；</w:t>
            </w:r>
            <w:r>
              <w:rPr>
                <w:rFonts w:hint="eastAsia" w:ascii="Times New Roman" w:hAnsi="Times New Roman" w:eastAsia="宋体" w:cs="Times New Roman"/>
                <w:color w:val="auto"/>
                <w:kern w:val="0"/>
                <w:sz w:val="22"/>
                <w:szCs w:val="22"/>
                <w:lang w:val="en-US" w:eastAsia="zh-CN" w:bidi="ar"/>
              </w:rPr>
              <w:t>（11）</w:t>
            </w:r>
            <w:r>
              <w:rPr>
                <w:rFonts w:hint="default" w:ascii="Times New Roman" w:hAnsi="Times New Roman" w:eastAsia="宋体" w:cs="Times New Roman"/>
                <w:color w:val="auto"/>
                <w:kern w:val="0"/>
                <w:sz w:val="22"/>
                <w:szCs w:val="22"/>
                <w:lang w:val="en-US" w:eastAsia="zh-CN" w:bidi="ar"/>
              </w:rPr>
              <w:t>隐患排查治理制度；</w:t>
            </w:r>
            <w:r>
              <w:rPr>
                <w:rFonts w:hint="eastAsia" w:ascii="Times New Roman" w:hAnsi="Times New Roman" w:eastAsia="宋体" w:cs="Times New Roman"/>
                <w:color w:val="auto"/>
                <w:kern w:val="0"/>
                <w:sz w:val="22"/>
                <w:szCs w:val="22"/>
                <w:lang w:val="en-US" w:eastAsia="zh-CN" w:bidi="ar"/>
              </w:rPr>
              <w:t>（12）</w:t>
            </w:r>
            <w:r>
              <w:rPr>
                <w:rFonts w:hint="default" w:ascii="Times New Roman" w:hAnsi="Times New Roman" w:eastAsia="宋体" w:cs="Times New Roman"/>
                <w:color w:val="auto"/>
                <w:kern w:val="0"/>
                <w:sz w:val="22"/>
                <w:szCs w:val="22"/>
                <w:lang w:val="en-US" w:eastAsia="zh-CN" w:bidi="ar"/>
              </w:rPr>
              <w:t>风险管理制度</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w:t>
            </w:r>
            <w:r>
              <w:rPr>
                <w:rFonts w:hint="default" w:ascii="Times New Roman" w:hAnsi="Times New Roman" w:eastAsia="宋体" w:cs="Times New Roman"/>
                <w:color w:val="auto"/>
                <w:kern w:val="0"/>
                <w:sz w:val="22"/>
                <w:szCs w:val="22"/>
                <w:lang w:val="en-US" w:eastAsia="zh-CN" w:bidi="ar"/>
              </w:rPr>
              <w:t xml:space="preserve">按照《交通运输企业安全生产标准化建设基本规范》JT/T </w:t>
            </w:r>
            <w:r>
              <w:rPr>
                <w:rFonts w:hint="eastAsia" w:ascii="Times New Roman" w:hAnsi="Times New Roman" w:eastAsia="宋体" w:cs="Times New Roman"/>
                <w:color w:val="auto"/>
                <w:kern w:val="0"/>
                <w:sz w:val="22"/>
                <w:szCs w:val="22"/>
                <w:lang w:val="en-US" w:eastAsia="zh-CN" w:bidi="ar"/>
              </w:rPr>
              <w:t>1180-2018</w:t>
            </w:r>
            <w:r>
              <w:rPr>
                <w:rFonts w:hint="default" w:ascii="Times New Roman" w:hAnsi="Times New Roman" w:eastAsia="宋体" w:cs="Times New Roman"/>
                <w:color w:val="auto"/>
                <w:kern w:val="0"/>
                <w:sz w:val="22"/>
                <w:szCs w:val="22"/>
                <w:lang w:val="en-US" w:eastAsia="zh-CN" w:bidi="ar"/>
              </w:rPr>
              <w:t>要求</w:t>
            </w:r>
            <w:r>
              <w:rPr>
                <w:rFonts w:hint="eastAsia" w:ascii="Times New Roman" w:hAnsi="Times New Roman" w:eastAsia="宋体" w:cs="Times New Roman"/>
                <w:color w:val="auto"/>
                <w:kern w:val="0"/>
                <w:sz w:val="22"/>
                <w:szCs w:val="22"/>
                <w:lang w:val="en-US" w:eastAsia="zh-CN" w:bidi="ar"/>
              </w:rPr>
              <w:t>，编制相应的管理制度。</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1.</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未正式发布的，</w:t>
            </w:r>
            <w:r>
              <w:rPr>
                <w:rFonts w:hint="default" w:ascii="Times New Roman" w:hAnsi="Times New Roman" w:eastAsia="宋体" w:cs="Times New Roman"/>
                <w:color w:val="000000" w:themeColor="text1"/>
                <w:kern w:val="0"/>
                <w:sz w:val="22"/>
                <w:szCs w:val="22"/>
                <w:highlight w:val="none"/>
                <w:lang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ascii="Times New Roman" w:hAnsi="Times New Roman" w:eastAsia="宋体" w:cs="Times New Roman"/>
                <w:strike w:val="0"/>
                <w:dstrike w:val="0"/>
                <w:color w:val="auto"/>
                <w:kern w:val="0"/>
                <w:sz w:val="22"/>
                <w:szCs w:val="22"/>
                <w:highlight w:val="none"/>
                <w:lang w:val="en-US" w:eastAsia="zh-Hans" w:bidi="ar"/>
              </w:rPr>
            </w:pPr>
            <w:r>
              <w:rPr>
                <w:rFonts w:hint="eastAsia" w:ascii="Times New Roman" w:hAnsi="Times New Roman" w:eastAsia="宋体" w:cs="Times New Roman"/>
                <w:strike w:val="0"/>
                <w:dstrike w:val="0"/>
                <w:color w:val="000000" w:themeColor="text1"/>
                <w:kern w:val="0"/>
                <w:sz w:val="22"/>
                <w:szCs w:val="22"/>
                <w:highlight w:val="none"/>
                <w:lang w:val="en-US" w:eastAsia="zh-CN" w:bidi="ar"/>
                <w14:textFill>
                  <w14:solidFill>
                    <w14:schemeClr w14:val="tx1"/>
                  </w14:solidFill>
                </w14:textFill>
              </w:rPr>
              <w:t>2.</w:t>
            </w:r>
            <w:r>
              <w:rPr>
                <w:rFonts w:hint="default" w:ascii="Times New Roman" w:hAnsi="Times New Roman" w:eastAsia="宋体" w:cs="Times New Roman"/>
                <w:strike w:val="0"/>
                <w:dstrike w:val="0"/>
                <w:color w:val="000000" w:themeColor="text1"/>
                <w:kern w:val="0"/>
                <w:sz w:val="22"/>
                <w:szCs w:val="22"/>
                <w:highlight w:val="none"/>
                <w:lang w:val="en-US" w:eastAsia="zh-CN" w:bidi="ar"/>
                <w14:textFill>
                  <w14:solidFill>
                    <w14:schemeClr w14:val="tx1"/>
                  </w14:solidFill>
                </w14:textFill>
              </w:rPr>
              <w:t>制度内容</w:t>
            </w:r>
            <w:r>
              <w:rPr>
                <w:rFonts w:hint="default" w:ascii="Times New Roman" w:hAnsi="Times New Roman" w:eastAsia="宋体" w:cs="Times New Roman"/>
                <w:strike w:val="0"/>
                <w:dstrike w:val="0"/>
                <w:color w:val="auto"/>
                <w:kern w:val="0"/>
                <w:sz w:val="22"/>
                <w:szCs w:val="22"/>
                <w:highlight w:val="none"/>
                <w:lang w:val="en-US" w:eastAsia="zh-CN" w:bidi="ar"/>
              </w:rPr>
              <w:t>不符合规定或与实际不符的，</w:t>
            </w:r>
            <w:r>
              <w:rPr>
                <w:rFonts w:hint="eastAsia" w:ascii="Times New Roman" w:hAnsi="Times New Roman" w:eastAsia="宋体" w:cs="Times New Roman"/>
                <w:strike w:val="0"/>
                <w:dstrike w:val="0"/>
                <w:color w:val="auto"/>
                <w:kern w:val="0"/>
                <w:sz w:val="22"/>
                <w:szCs w:val="22"/>
                <w:highlight w:val="none"/>
                <w:lang w:val="en-US" w:eastAsia="zh-Hans" w:bidi="ar"/>
              </w:rPr>
              <w:t>不符合</w:t>
            </w:r>
            <w:r>
              <w:rPr>
                <w:rFonts w:hint="default" w:ascii="Times New Roman" w:hAnsi="Times New Roman" w:eastAsia="宋体" w:cs="Times New Roman"/>
                <w:strike w:val="0"/>
                <w:dstrike w:val="0"/>
                <w:color w:val="auto"/>
                <w:kern w:val="0"/>
                <w:sz w:val="22"/>
                <w:szCs w:val="22"/>
                <w:highlight w:val="none"/>
                <w:lang w:eastAsia="zh-Hans" w:bidi="ar"/>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ascii="Times New Roman" w:hAnsi="Times New Roman" w:eastAsia="宋体" w:cs="Times New Roman"/>
                <w:strike w:val="0"/>
                <w:dstrike w:val="0"/>
                <w:color w:val="auto"/>
                <w:kern w:val="0"/>
                <w:sz w:val="22"/>
                <w:szCs w:val="22"/>
                <w:highlight w:val="none"/>
                <w:lang w:val="en-US" w:eastAsia="zh-CN" w:bidi="ar"/>
              </w:rPr>
              <w:t>3.</w:t>
            </w:r>
            <w:r>
              <w:rPr>
                <w:rFonts w:hint="default" w:ascii="Times New Roman" w:hAnsi="Times New Roman" w:eastAsia="宋体" w:cs="Times New Roman"/>
                <w:strike w:val="0"/>
                <w:dstrike w:val="0"/>
                <w:color w:val="auto"/>
                <w:kern w:val="0"/>
                <w:sz w:val="22"/>
                <w:szCs w:val="22"/>
                <w:highlight w:val="none"/>
                <w:lang w:val="en-US" w:eastAsia="zh-CN" w:bidi="ar"/>
              </w:rPr>
              <w:t>无制度执行记录</w:t>
            </w:r>
            <w:r>
              <w:rPr>
                <w:rFonts w:hint="default" w:ascii="Times New Roman" w:hAnsi="Times New Roman" w:eastAsia="宋体" w:cs="Times New Roman"/>
                <w:strike w:val="0"/>
                <w:dstrike w:val="0"/>
                <w:color w:val="auto"/>
                <w:kern w:val="0"/>
                <w:sz w:val="22"/>
                <w:szCs w:val="22"/>
                <w:highlight w:val="none"/>
                <w:lang w:eastAsia="zh-CN" w:bidi="ar"/>
              </w:rPr>
              <w:t>、</w:t>
            </w:r>
            <w:r>
              <w:rPr>
                <w:rFonts w:hint="eastAsia" w:ascii="Times New Roman" w:hAnsi="Times New Roman" w:eastAsia="宋体" w:cs="Times New Roman"/>
                <w:strike w:val="0"/>
                <w:dstrike w:val="0"/>
                <w:color w:val="auto"/>
                <w:kern w:val="0"/>
                <w:sz w:val="22"/>
                <w:szCs w:val="22"/>
                <w:highlight w:val="none"/>
                <w:lang w:val="en-US" w:eastAsia="zh-Hans" w:bidi="ar"/>
              </w:rPr>
              <w:t>相关企业台账的</w:t>
            </w:r>
            <w:r>
              <w:rPr>
                <w:rFonts w:hint="default" w:ascii="Times New Roman" w:hAnsi="Times New Roman" w:eastAsia="宋体" w:cs="Times New Roman"/>
                <w:strike w:val="0"/>
                <w:dstrike w:val="0"/>
                <w:color w:val="auto"/>
                <w:kern w:val="0"/>
                <w:sz w:val="22"/>
                <w:szCs w:val="22"/>
                <w:highlight w:val="none"/>
                <w:lang w:val="en-US" w:eastAsia="zh-CN" w:bidi="ar"/>
              </w:rPr>
              <w:t>，</w:t>
            </w:r>
            <w:r>
              <w:rPr>
                <w:rFonts w:hint="eastAsia" w:ascii="Times New Roman" w:hAnsi="Times New Roman" w:eastAsia="宋体" w:cs="Times New Roman"/>
                <w:strike w:val="0"/>
                <w:dstrike w:val="0"/>
                <w:color w:val="auto"/>
                <w:kern w:val="0"/>
                <w:sz w:val="22"/>
                <w:szCs w:val="22"/>
                <w:highlight w:val="none"/>
                <w:lang w:val="en-US" w:eastAsia="zh-Hans" w:bidi="ar"/>
              </w:rPr>
              <w:t>不符合</w:t>
            </w:r>
            <w:r>
              <w:rPr>
                <w:rFonts w:hint="default" w:ascii="Times New Roman" w:hAnsi="Times New Roman" w:eastAsia="宋体" w:cs="Times New Roman"/>
                <w:strike w:val="0"/>
                <w:dstrike w:val="0"/>
                <w:color w:val="auto"/>
                <w:kern w:val="0"/>
                <w:sz w:val="22"/>
                <w:szCs w:val="22"/>
                <w:highlight w:val="none"/>
                <w:lang w:eastAsia="zh-Hans" w:bidi="ar"/>
              </w:rPr>
              <w:t>。</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strike w:val="0"/>
                <w:dstrike w:val="0"/>
                <w:color w:val="auto"/>
                <w:kern w:val="0"/>
                <w:sz w:val="22"/>
                <w:szCs w:val="22"/>
                <w:highlight w:val="none"/>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strike w:val="0"/>
                <w:dstrike w:val="0"/>
                <w:color w:val="auto"/>
                <w:kern w:val="0"/>
                <w:sz w:val="22"/>
                <w:szCs w:val="22"/>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企业应将安全生产管理制度发放到有关的工作岗位，并将相关的规章制度及时传达给相关方</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heme="minorEastAsia" w:hAnsiTheme="minorEastAsia" w:eastAsiaTheme="minorEastAsia" w:cstheme="minorEastAsia"/>
                <w:bCs/>
                <w:sz w:val="22"/>
                <w:szCs w:val="22"/>
              </w:rPr>
              <w:t>企业安全生产管理制度发布后，应针对管理制度内容对从业人员进行培训，使从业人员了解管理制度内容和要求，以便于安全管理制度的有效实施和落实</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无安全生产管理制度发放和组织学习培训记录，</w:t>
            </w:r>
            <w:r>
              <w:rPr>
                <w:rFonts w:hint="eastAsia" w:ascii="Times New Roman" w:hAnsi="Times New Roman" w:eastAsia="宋体" w:cs="Times New Roman"/>
                <w:color w:val="auto"/>
                <w:kern w:val="0"/>
                <w:sz w:val="22"/>
                <w:szCs w:val="22"/>
                <w:lang w:val="en-US" w:eastAsia="zh-CN" w:bidi="ar"/>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 xml:space="preserve">4.4 岗位安全生产操作规程 </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eastAsia" w:asciiTheme="minorEastAsia" w:hAnsiTheme="minorEastAsia" w:eastAsiaTheme="minorEastAsia" w:cstheme="minorEastAsia"/>
                <w:bCs/>
                <w:sz w:val="22"/>
                <w:szCs w:val="22"/>
              </w:rPr>
              <w:t>企业应制定各岗位操作规程.操作规程应满足国家和行业相关标准规范的要求</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heme="minorEastAsia" w:hAnsiTheme="minorEastAsia" w:eastAsiaTheme="minorEastAsia" w:cstheme="minorEastAsia"/>
                <w:bCs/>
                <w:sz w:val="22"/>
                <w:szCs w:val="22"/>
              </w:rPr>
            </w:pPr>
            <w:r>
              <w:rPr>
                <w:rFonts w:hint="eastAsia" w:asciiTheme="minorEastAsia" w:hAnsiTheme="minorEastAsia" w:eastAsiaTheme="minorEastAsia" w:cstheme="minorEastAsia"/>
                <w:bCs/>
                <w:sz w:val="22"/>
                <w:szCs w:val="22"/>
              </w:rPr>
              <w:t>安全操作规程，是指在生产活动中，为消除能导致人身伤亡或造成设备、财产损失以及危害环境的因素而制定的具体技术要求和实施程序的统一规定。</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eastAsia" w:asciiTheme="minorEastAsia" w:hAnsiTheme="minorEastAsia" w:eastAsiaTheme="minorEastAsia" w:cstheme="minorEastAsia"/>
                <w:bCs/>
                <w:sz w:val="22"/>
                <w:szCs w:val="22"/>
              </w:rPr>
              <w:t>企业应根据生产特点，组织制定岗位安全操作规程，发放到相关岗位，保证其有效实施。操作规程中应明确：操作前的检查及准备工作的程序和方法；操作中严禁的行为；必须的操作步骤和操作方法；操作注意事项；正确使用劳动防护用品的要求；出现异常情况时的应急措施。</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未正式发布的操作规程，</w:t>
            </w:r>
            <w:r>
              <w:rPr>
                <w:rFonts w:hint="eastAsia" w:ascii="Times New Roman" w:hAnsi="Times New Roman" w:eastAsia="宋体" w:cs="Times New Roman"/>
                <w:color w:val="auto"/>
                <w:kern w:val="0"/>
                <w:sz w:val="22"/>
                <w:szCs w:val="22"/>
                <w:lang w:val="en-US" w:eastAsia="zh-CN" w:bidi="ar"/>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4.5 修订</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企业应定期对安全管理制度和操作规程进行评审，并根据评审结论及时进行修订，确保其有效性、适应性和符合性</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在发生以下情况时，应及时对相关的管理制度或操作规程进行评审、修订：</w:t>
            </w:r>
          </w:p>
          <w:p>
            <w:pPr>
              <w:keepNext w:val="0"/>
              <w:keepLines w:val="0"/>
              <w:pageBreakBefore w:val="0"/>
              <w:widowControl/>
              <w:numPr>
                <w:ilvl w:val="0"/>
                <w:numId w:val="9"/>
              </w:numPr>
              <w:suppressLineNumbers w:val="0"/>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国家相关法律、法规、规程、标准废止、修订或新颁布；</w:t>
            </w:r>
          </w:p>
          <w:p>
            <w:pPr>
              <w:keepNext w:val="0"/>
              <w:keepLines w:val="0"/>
              <w:pageBreakBefore w:val="0"/>
              <w:widowControl/>
              <w:numPr>
                <w:ilvl w:val="0"/>
                <w:numId w:val="9"/>
              </w:numPr>
              <w:suppressLineNumbers w:val="0"/>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企业归属、体制、规模发生重大变化；</w:t>
            </w:r>
          </w:p>
          <w:p>
            <w:pPr>
              <w:keepNext w:val="0"/>
              <w:keepLines w:val="0"/>
              <w:pageBreakBefore w:val="0"/>
              <w:widowControl/>
              <w:numPr>
                <w:ilvl w:val="0"/>
                <w:numId w:val="9"/>
              </w:numPr>
              <w:suppressLineNumbers w:val="0"/>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生产设施新建、改建、扩建规模、作业环境已发生重大改变；</w:t>
            </w:r>
          </w:p>
          <w:p>
            <w:pPr>
              <w:keepNext w:val="0"/>
              <w:keepLines w:val="0"/>
              <w:pageBreakBefore w:val="0"/>
              <w:widowControl/>
              <w:numPr>
                <w:ilvl w:val="0"/>
                <w:numId w:val="9"/>
              </w:numPr>
              <w:suppressLineNumbers w:val="0"/>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设备设施发生变更；</w:t>
            </w:r>
          </w:p>
          <w:p>
            <w:pPr>
              <w:keepNext w:val="0"/>
              <w:keepLines w:val="0"/>
              <w:pageBreakBefore w:val="0"/>
              <w:widowControl/>
              <w:numPr>
                <w:ilvl w:val="0"/>
                <w:numId w:val="9"/>
              </w:numPr>
              <w:suppressLineNumbers w:val="0"/>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作业工艺、危险有害特性发生变化；</w:t>
            </w:r>
          </w:p>
          <w:p>
            <w:pPr>
              <w:keepNext w:val="0"/>
              <w:keepLines w:val="0"/>
              <w:pageBreakBefore w:val="0"/>
              <w:widowControl/>
              <w:numPr>
                <w:ilvl w:val="0"/>
                <w:numId w:val="9"/>
              </w:numPr>
              <w:suppressLineNumbers w:val="0"/>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政府相关行政部门提出整改意见；</w:t>
            </w:r>
          </w:p>
          <w:p>
            <w:pPr>
              <w:keepNext w:val="0"/>
              <w:keepLines w:val="0"/>
              <w:pageBreakBefore w:val="0"/>
              <w:widowControl/>
              <w:numPr>
                <w:ilvl w:val="0"/>
                <w:numId w:val="9"/>
              </w:numPr>
              <w:suppressLineNumbers w:val="0"/>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安全评价、风险评估、体系认证、分析事故原因、安全检查发现涉及规章制度、操作规程的问题；</w:t>
            </w:r>
          </w:p>
          <w:p>
            <w:pPr>
              <w:keepNext w:val="0"/>
              <w:keepLines w:val="0"/>
              <w:pageBreakBefore w:val="0"/>
              <w:widowControl/>
              <w:numPr>
                <w:ilvl w:val="0"/>
                <w:numId w:val="9"/>
              </w:numPr>
              <w:suppressLineNumbers w:val="0"/>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其他相关事项</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FF0000"/>
                <w:kern w:val="0"/>
                <w:sz w:val="22"/>
                <w:szCs w:val="22"/>
                <w:lang w:val="en-US" w:eastAsia="zh-CN" w:bidi="ar"/>
              </w:rPr>
              <w:t>★</w:t>
            </w:r>
            <w:r>
              <w:rPr>
                <w:rFonts w:hint="eastAsia" w:ascii="Times New Roman" w:hAnsi="Times New Roman" w:eastAsia="宋体" w:cs="Times New Roman"/>
                <w:color w:val="FF0000"/>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未对管理制度、操作规程定期进行有效性、符合性评审，导致不满足法律法规要求的，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p>
          <w:p>
            <w:pPr>
              <w:keepNext w:val="0"/>
              <w:keepLines w:val="0"/>
              <w:pageBreakBefore w:val="0"/>
              <w:widowControl/>
              <w:numPr>
                <w:ilvl w:val="0"/>
                <w:numId w:val="1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未及时开展修订，</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五、</w:t>
            </w:r>
            <w:r>
              <w:rPr>
                <w:rFonts w:hint="default" w:ascii="Times New Roman" w:hAnsi="Times New Roman" w:eastAsia="宋体" w:cs="Times New Roman"/>
                <w:color w:val="auto"/>
                <w:kern w:val="0"/>
                <w:sz w:val="22"/>
                <w:szCs w:val="22"/>
                <w:lang w:val="en-US" w:eastAsia="zh-CN" w:bidi="ar"/>
              </w:rPr>
              <w:t>安全投入 3</w:t>
            </w:r>
            <w:r>
              <w:rPr>
                <w:rFonts w:hint="eastAsia" w:ascii="Times New Roman" w:hAnsi="Times New Roman" w:eastAsia="宋体" w:cs="Times New Roman"/>
                <w:color w:val="auto"/>
                <w:kern w:val="0"/>
                <w:sz w:val="22"/>
                <w:szCs w:val="22"/>
                <w:lang w:val="en-US" w:eastAsia="zh-CN" w:bidi="ar"/>
              </w:rPr>
              <w:t>0</w:t>
            </w:r>
            <w:r>
              <w:rPr>
                <w:rFonts w:hint="default" w:ascii="Times New Roman" w:hAnsi="Times New Roman" w:eastAsia="宋体" w:cs="Times New Roman"/>
                <w:color w:val="auto"/>
                <w:kern w:val="0"/>
                <w:sz w:val="22"/>
                <w:szCs w:val="22"/>
                <w:lang w:val="en-US" w:eastAsia="zh-CN" w:bidi="ar"/>
              </w:rPr>
              <w:t>分</w:t>
            </w:r>
          </w:p>
        </w:tc>
        <w:tc>
          <w:tcPr>
            <w:tcW w:w="65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5.1 资金投入</w:t>
            </w:r>
            <w:r>
              <w:rPr>
                <w:rFonts w:hint="eastAsia" w:ascii="Times New Roman" w:hAnsi="Times New Roman" w:eastAsia="宋体" w:cs="Times New Roman"/>
                <w:color w:val="auto"/>
                <w:kern w:val="0"/>
                <w:sz w:val="22"/>
                <w:szCs w:val="22"/>
                <w:lang w:val="en-US" w:eastAsia="zh-CN" w:bidi="ar"/>
              </w:rPr>
              <w:t>（15</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企业应按规定足额提取（列支）安全生产费用</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安全生产法》第二十三条规定生产经营单位应当具备的安全生产条件所必需的资金投入，由生产经营单位的决策机构、主要负责人或者个人经营的投资人予以保证，并对由于安全生产所必需的资金投入不足导致的后果承担责任。</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有关生产经营单位应当按照规定提取和使用安全生产费用，专门用于改善安全生产条件。安全生产费用在成本中据实列支。</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《企业安全生产费用提取和使用管理办法》财资[2022]136</w:t>
            </w:r>
            <w:r>
              <w:rPr>
                <w:rFonts w:hint="eastAsia" w:ascii="Times New Roman" w:hAnsi="Times New Roman" w:eastAsia="宋体" w:cs="Times New Roman"/>
                <w:color w:val="auto"/>
                <w:kern w:val="0"/>
                <w:sz w:val="22"/>
                <w:szCs w:val="22"/>
                <w:lang w:val="en-US" w:eastAsia="zh-CN" w:bidi="ar"/>
              </w:rPr>
              <w:t>号</w:t>
            </w:r>
            <w:r>
              <w:rPr>
                <w:rFonts w:hint="default" w:ascii="Times New Roman" w:hAnsi="Times New Roman" w:eastAsia="宋体" w:cs="Times New Roman"/>
                <w:color w:val="auto"/>
                <w:kern w:val="0"/>
                <w:sz w:val="22"/>
                <w:szCs w:val="22"/>
                <w:lang w:val="en-US" w:eastAsia="zh-CN" w:bidi="ar"/>
              </w:rPr>
              <w:t>第24条规定，应</w:t>
            </w:r>
            <w:r>
              <w:rPr>
                <w:rFonts w:hint="eastAsia" w:ascii="Times New Roman" w:hAnsi="Times New Roman" w:eastAsia="宋体" w:cs="Times New Roman"/>
                <w:color w:val="auto"/>
                <w:kern w:val="0"/>
                <w:sz w:val="22"/>
                <w:szCs w:val="22"/>
                <w:lang w:val="en-US" w:eastAsia="zh-CN" w:bidi="ar"/>
              </w:rPr>
              <w:t>按比例提取</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default" w:ascii="Times New Roman" w:hAnsi="Times New Roman" w:eastAsia="宋体" w:cs="Times New Roman"/>
                <w:color w:val="auto"/>
                <w:kern w:val="0"/>
                <w:sz w:val="22"/>
                <w:szCs w:val="22"/>
                <w:lang w:val="en-US" w:eastAsia="zh-CN" w:bidi="ar"/>
              </w:rPr>
              <w:t>第二十四条 交通运输企业以上一年度营业收入为依据，确定本年度应计提金</w:t>
            </w:r>
            <w:r>
              <w:rPr>
                <w:rFonts w:hint="default" w:ascii="Times New Roman" w:hAnsi="Times New Roman" w:eastAsia="宋体" w:cs="Times New Roman"/>
                <w:color w:val="auto"/>
                <w:kern w:val="0"/>
                <w:sz w:val="22"/>
                <w:szCs w:val="22"/>
                <w:highlight w:val="none"/>
                <w:lang w:val="en-US" w:eastAsia="zh-CN" w:bidi="ar"/>
              </w:rPr>
              <w:t>额，并逐月平均提取。具体如下：</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highlight w:val="none"/>
                <w:lang w:val="en-US" w:eastAsia="zh-CN" w:bidi="ar"/>
              </w:rPr>
              <w:t>（二）</w:t>
            </w:r>
            <w:r>
              <w:rPr>
                <w:rFonts w:hint="eastAsia" w:ascii="Times New Roman" w:hAnsi="Times New Roman" w:eastAsia="宋体" w:cs="Times New Roman"/>
                <w:color w:val="auto"/>
                <w:kern w:val="0"/>
                <w:sz w:val="22"/>
                <w:szCs w:val="22"/>
                <w:highlight w:val="none"/>
                <w:lang w:val="en-US" w:eastAsia="zh-CN" w:bidi="ar"/>
              </w:rPr>
              <w:t>普通货物运输企业</w:t>
            </w:r>
            <w:r>
              <w:rPr>
                <w:rFonts w:hint="default" w:ascii="Times New Roman" w:hAnsi="Times New Roman" w:eastAsia="宋体" w:cs="Times New Roman"/>
                <w:color w:val="auto"/>
                <w:kern w:val="0"/>
                <w:sz w:val="22"/>
                <w:szCs w:val="22"/>
                <w:highlight w:val="none"/>
                <w:lang w:val="en-US" w:eastAsia="zh-CN" w:bidi="ar"/>
              </w:rPr>
              <w:t>1%</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1"/>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未制定安全生产费用提取、使用和监督管理制度</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11"/>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未按规定提取安全生产费用</w:t>
            </w:r>
            <w:r>
              <w:rPr>
                <w:rFonts w:hint="eastAsia" w:ascii="Times New Roman" w:hAnsi="Times New Roman" w:eastAsia="宋体" w:cs="Times New Roman"/>
                <w:color w:val="auto"/>
                <w:kern w:val="0"/>
                <w:sz w:val="22"/>
                <w:szCs w:val="22"/>
                <w:lang w:val="en-US" w:eastAsia="zh-CN" w:bidi="ar"/>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5.2 费用管理</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5</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t>企业建立安全费用使用台账</w:t>
            </w:r>
            <w:r>
              <w:rPr>
                <w:rFonts w:hint="eastAsia" w:ascii="Times New Roman" w:hAnsi="Times New Roman" w:eastAsia="宋体" w:cs="Times New Roman"/>
                <w:color w:val="auto"/>
                <w:kern w:val="0"/>
                <w:sz w:val="22"/>
                <w:szCs w:val="22"/>
                <w:lang w:val="en-US" w:eastAsia="zh-CN" w:bidi="ar"/>
              </w:rPr>
              <w:t>，实行专款专用</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《企业安全生产费用提取和使用管理办法》财资[2022]136</w:t>
            </w:r>
            <w:r>
              <w:rPr>
                <w:rFonts w:hint="eastAsia" w:ascii="Times New Roman" w:hAnsi="Times New Roman" w:eastAsia="宋体" w:cs="Times New Roman"/>
                <w:color w:val="auto"/>
                <w:kern w:val="0"/>
                <w:sz w:val="22"/>
                <w:szCs w:val="22"/>
                <w:lang w:val="en-US" w:eastAsia="zh-CN" w:bidi="ar"/>
              </w:rPr>
              <w:t>号</w:t>
            </w:r>
            <w:r>
              <w:rPr>
                <w:rFonts w:hint="default" w:ascii="Times New Roman" w:hAnsi="Times New Roman" w:eastAsia="宋体" w:cs="Times New Roman"/>
                <w:color w:val="auto"/>
                <w:kern w:val="0"/>
                <w:sz w:val="22"/>
                <w:szCs w:val="22"/>
                <w:lang w:val="en-US" w:eastAsia="zh-CN" w:bidi="ar"/>
              </w:rPr>
              <w:t>第25条规定，应符合使用范围。</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第二十五条 交通运输企业安全生产费用应当用于以下支出：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一）完善、改造和维护安全防护设施设备支出（不含“三同时”要求初期投入的安全设施），包括道路、水路、铁路、城市轨道交通、管道运输设施设备和装卸工具安全状况检测及维护系统、运输设施设备和装卸工具附属安全设备等支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（二）购置、安装和使用具有行驶记录功能的车辆卫星定位装置、视频监控装置、船舶通信导航定位和自动识别系统、电子海图等支出；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 xml:space="preserve">（三）铁路和城市轨道交通防灾监测预警设备及铁路周界入侵报警系统、铁路危险品运输安全监测设备支出； </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（四）配备、维护、保养应急救援器材、设备支出和应急救援队伍建设、应急预案制修订与应急演练支出；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（五）开展重大危险源检测、评估、监控支出，安全风险分级管控和事故隐患排查整改支出，安全生产信息化、智能化建设、运维和网络安全支出；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（六）安全生产检查、评估评价（不含新建、改建、扩建项目安全评价）、咨询和标准化建设支出；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（七）配备和更新现场作业人员安全防护用品支出；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（八）安全生产宣传、教育、培训和从业人员发现并报告事故隐患的奖励支出；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（九）安全生产适用的新技术、新标准、新工艺、新装备的推广应用支出；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 xml:space="preserve">（十）安全设施及特种设备检测检验、检定校准、铁路和城市轨道交通基础设备安全检测支出； </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（十一）安全生产责任保险及承运人责任保险支出；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（十二）与安全生产直接相关的其他支出</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center"/>
              <w:rPr>
                <w:rFonts w:hint="eastAsia"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highlight w:val="none"/>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无安全生产经费使用台账，</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未实行专款专用，不符合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六、</w:t>
            </w:r>
            <w:r>
              <w:rPr>
                <w:rFonts w:hint="default" w:ascii="Times New Roman" w:hAnsi="Times New Roman" w:eastAsia="宋体" w:cs="Times New Roman"/>
                <w:color w:val="auto"/>
                <w:kern w:val="0"/>
                <w:sz w:val="22"/>
                <w:szCs w:val="22"/>
                <w:lang w:val="en-US" w:eastAsia="zh-CN" w:bidi="ar"/>
              </w:rPr>
              <w:t xml:space="preserve">装备设施 </w:t>
            </w:r>
            <w:r>
              <w:rPr>
                <w:rFonts w:hint="eastAsia" w:ascii="Times New Roman" w:hAnsi="Times New Roman" w:eastAsia="宋体" w:cs="Times New Roman"/>
                <w:color w:val="auto"/>
                <w:kern w:val="0"/>
                <w:sz w:val="22"/>
                <w:szCs w:val="22"/>
                <w:lang w:val="en-US" w:eastAsia="zh-CN" w:bidi="ar"/>
              </w:rPr>
              <w:t>90</w:t>
            </w:r>
            <w:r>
              <w:rPr>
                <w:rFonts w:hint="default" w:ascii="Times New Roman" w:hAnsi="Times New Roman" w:eastAsia="宋体" w:cs="Times New Roman"/>
                <w:color w:val="auto"/>
                <w:kern w:val="0"/>
                <w:sz w:val="22"/>
                <w:szCs w:val="22"/>
                <w:lang w:val="en-US" w:eastAsia="zh-CN" w:bidi="ar"/>
              </w:rPr>
              <w:t>分</w:t>
            </w:r>
          </w:p>
        </w:tc>
        <w:tc>
          <w:tcPr>
            <w:tcW w:w="65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 xml:space="preserve">6.1 </w:t>
            </w:r>
            <w:r>
              <w:rPr>
                <w:rFonts w:hint="eastAsia" w:ascii="Times New Roman" w:hAnsi="Times New Roman" w:eastAsia="宋体" w:cs="Times New Roman"/>
                <w:color w:val="auto"/>
                <w:kern w:val="0"/>
                <w:sz w:val="22"/>
                <w:szCs w:val="22"/>
                <w:lang w:val="en-US" w:eastAsia="zh-CN" w:bidi="ar"/>
              </w:rPr>
              <w:t>安全设备设施（30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安全生产设施设备符合有关规定.并保证齐全、完好.没有随意改动</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设施设备是指用于保证生产经营活动正常进行，防止事故发生，保障职工人身安全与健康的设备总称。道路货物运输企业安全生产设施设备主要有道路运输设施设备和装卸工具安全状况检测及维护系统、运输设施设备和装卸工具附属安全设备等。道路货物运输企业保证安全设施设备符合有关规定、齐全、完好是安全生产的重要保障。道路货物运输企业必须对安全设备进行经常性维护、保养，并定期检测，保证其符合国家标准或者行业标准。安全生产设施设备维护、保养、检测应当作好记录，并由有关人员签字。</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１. 抽查车辆.安全生产设备设施不符合规定，不符合. ２. 抽查的车辆设备设施没有进行维护、保养，不符合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2181" w:hRule="atLeast"/>
        </w:trPr>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eastAsia" w:ascii="Times New Roman" w:hAnsi="Times New Roman" w:eastAsia="宋体" w:cs="Times New Roman"/>
                <w:color w:val="auto"/>
                <w:kern w:val="0"/>
                <w:sz w:val="22"/>
                <w:szCs w:val="22"/>
                <w:lang w:val="en-US" w:eastAsia="zh-CN" w:bidi="ar"/>
              </w:rPr>
              <w:t>企业车辆应按照规定配备三角木、警示牌.并按规定配足有效的灭火器</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道路货物运输企业应按照《机动车运行安全技术条件》（GB7258-2017）、《机动车安全技术检验项目和方法》（GB38900－2020）等标准要求为营运车辆配备与其相适应的安全防护警示装置、灭火装置，安装应牢靠、便于取用。所称“有效”特指这些设备及器材处于良好状态，能够在出现突发事态时能够发挥出处置危害或危险的作用。</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 xml:space="preserve">1.抽查的车辆未配备三角木、警示牌等安全设备.配足有效的消防设备及器材.不符合 </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２. 未建立车辆安全设施设备定期检查台账、档案，不符合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90" w:hRule="atLeast"/>
        </w:trPr>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 xml:space="preserve">6.2 </w:t>
            </w:r>
            <w:r>
              <w:rPr>
                <w:rFonts w:hint="eastAsia" w:ascii="Times New Roman" w:hAnsi="Times New Roman" w:eastAsia="宋体" w:cs="Times New Roman"/>
                <w:color w:val="auto"/>
                <w:kern w:val="0"/>
                <w:sz w:val="22"/>
                <w:szCs w:val="22"/>
                <w:lang w:val="en-US" w:eastAsia="zh-CN" w:bidi="ar"/>
              </w:rPr>
              <w:t>营运车辆（60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 xml:space="preserve"> </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eastAsia" w:ascii="Times New Roman" w:hAnsi="Times New Roman" w:eastAsia="宋体" w:cs="Times New Roman"/>
                <w:color w:val="auto"/>
                <w:kern w:val="0"/>
                <w:sz w:val="22"/>
                <w:szCs w:val="22"/>
                <w:lang w:val="en-US" w:eastAsia="zh-CN" w:bidi="ar"/>
              </w:rPr>
              <w:t>车辆持有效的《道路运输证》、《机动车行驶证》等证照</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道路货物运输车辆依法取得《道路运输证》、《机动车行驶证》等证照，是道路运输企业依法从事道路运输安全生产经营活动的前提条件。《道路运输证》是交通部门核发给从事道路运输经营活动车辆的合法凭证。《道路货物运输及站场管理规定》第29条规定，道路货物运输经营者应当要求其聘用的车辆驾驶员随车携带《道路运输证》。</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这里的“有效”是指通过交通运输部门认定的机动车综合性能检测机构检测和公安交通部门认定的机动车安全性能检测机构检测，并审验合格。</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抽查的车辆无《道路运输证》、《机动车行驶证》，不符合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企业应当确定运输车辆维护周期，按照确定的维护周期组织对运输车辆进行维护，并根据实际情况对车辆进行及时修理</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应按照《</w:t>
            </w:r>
            <w:r>
              <w:rPr>
                <w:rFonts w:hint="eastAsia" w:ascii="Times New Roman" w:hAnsi="Times New Roman" w:eastAsia="宋体" w:cs="Times New Roman"/>
                <w:color w:val="auto"/>
                <w:kern w:val="0"/>
                <w:sz w:val="22"/>
                <w:szCs w:val="22"/>
                <w:lang w:val="en-US" w:eastAsia="zh-CN" w:bidi="ar"/>
              </w:rPr>
              <w:fldChar w:fldCharType="begin"/>
            </w:r>
            <w:r>
              <w:rPr>
                <w:rFonts w:hint="eastAsia" w:ascii="Times New Roman" w:hAnsi="Times New Roman" w:eastAsia="宋体" w:cs="Times New Roman"/>
                <w:color w:val="auto"/>
                <w:kern w:val="0"/>
                <w:sz w:val="22"/>
                <w:szCs w:val="22"/>
                <w:lang w:val="en-US" w:eastAsia="zh-CN" w:bidi="ar"/>
              </w:rPr>
              <w:instrText xml:space="preserve"> HYPERLINK "http://www.baidu.com/link?url=qBdk3RXASI_npDalttvxXZ_Dxs1CDrf9rE62Mgab-ZncZQdwlyy9ohmZmEhLnSOU74ShjFBUMOak0QMhf95lWCb1tfwUjq-b8J4afT20Za7Hjj3njgN2BOlzjdhlku9qF1XuQVeMQne3PHzssUXtiVzXrnChPSMsUeqjLTQtcurpmToiMjZAIZ3PAbObLPnzku3-FTJQUtGuhLETirNwEGWG5zBnKdERkNhswFWY73WnVguARspyGHowf9-rQY7o" \t "https://www.baidu.com/_blank" </w:instrText>
            </w:r>
            <w:r>
              <w:rPr>
                <w:rFonts w:hint="eastAsia" w:ascii="Times New Roman" w:hAnsi="Times New Roman" w:eastAsia="宋体" w:cs="Times New Roman"/>
                <w:color w:val="auto"/>
                <w:kern w:val="0"/>
                <w:sz w:val="22"/>
                <w:szCs w:val="22"/>
                <w:lang w:val="en-US" w:eastAsia="zh-CN" w:bidi="ar"/>
              </w:rPr>
              <w:fldChar w:fldCharType="separate"/>
            </w:r>
            <w:r>
              <w:rPr>
                <w:rFonts w:hint="eastAsia" w:ascii="Times New Roman" w:hAnsi="Times New Roman" w:eastAsia="宋体" w:cs="Times New Roman"/>
                <w:color w:val="auto"/>
                <w:kern w:val="0"/>
                <w:sz w:val="22"/>
                <w:szCs w:val="22"/>
                <w:lang w:val="en-US" w:eastAsia="zh-CN" w:bidi="ar"/>
              </w:rPr>
              <w:t>汽车维护、检测、诊断技术规范</w:t>
            </w:r>
            <w:r>
              <w:rPr>
                <w:rFonts w:hint="eastAsia" w:ascii="Times New Roman" w:hAnsi="Times New Roman" w:eastAsia="宋体" w:cs="Times New Roman"/>
                <w:color w:val="auto"/>
                <w:kern w:val="0"/>
                <w:sz w:val="22"/>
                <w:szCs w:val="22"/>
                <w:lang w:val="en-US" w:eastAsia="zh-CN" w:bidi="ar"/>
              </w:rPr>
              <w:fldChar w:fldCharType="end"/>
            </w:r>
            <w:r>
              <w:rPr>
                <w:rFonts w:hint="eastAsia" w:ascii="Times New Roman" w:hAnsi="Times New Roman" w:eastAsia="宋体" w:cs="Times New Roman"/>
                <w:color w:val="auto"/>
                <w:kern w:val="0"/>
                <w:sz w:val="22"/>
                <w:szCs w:val="22"/>
                <w:lang w:val="en-US" w:eastAsia="zh-CN" w:bidi="ar"/>
              </w:rPr>
              <w:t>》（GB/T18344-2016）要求定期进行维护</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strike w:val="0"/>
                <w:dstrike w:val="0"/>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lang w:val="en-US" w:eastAsia="zh-CN" w:bidi="ar"/>
              </w:rPr>
              <w:t>20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strike w:val="0"/>
                <w:dstrike w:val="0"/>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strike w:val="0"/>
                <w:dstrike w:val="0"/>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lang w:val="en-US" w:eastAsia="zh-CN" w:bidi="ar"/>
              </w:rPr>
              <w:t>1.</w:t>
            </w:r>
            <w:r>
              <w:rPr>
                <w:rFonts w:hint="default" w:ascii="Times New Roman" w:hAnsi="Times New Roman" w:eastAsia="宋体" w:cs="Times New Roman"/>
                <w:strike w:val="0"/>
                <w:dstrike w:val="0"/>
                <w:color w:val="auto"/>
                <w:kern w:val="0"/>
                <w:sz w:val="22"/>
                <w:szCs w:val="22"/>
                <w:lang w:val="en-US" w:eastAsia="zh-CN" w:bidi="ar"/>
              </w:rPr>
              <w:t>无所有车辆综合性能检车报告，</w:t>
            </w:r>
            <w:r>
              <w:rPr>
                <w:rFonts w:hint="eastAsia" w:ascii="Times New Roman" w:hAnsi="Times New Roman" w:eastAsia="宋体" w:cs="Times New Roman"/>
                <w:strike w:val="0"/>
                <w:dstrike w:val="0"/>
                <w:color w:val="auto"/>
                <w:kern w:val="0"/>
                <w:sz w:val="22"/>
                <w:szCs w:val="22"/>
                <w:lang w:val="en-US" w:eastAsia="zh-CN" w:bidi="ar"/>
              </w:rPr>
              <w:t>不符合</w:t>
            </w:r>
            <w:r>
              <w:rPr>
                <w:rFonts w:hint="default" w:ascii="Times New Roman" w:hAnsi="Times New Roman" w:eastAsia="宋体" w:cs="Times New Roman"/>
                <w:strike w:val="0"/>
                <w:dstrike w:val="0"/>
                <w:color w:val="auto"/>
                <w:kern w:val="0"/>
                <w:sz w:val="22"/>
                <w:szCs w:val="22"/>
                <w:lang w:val="en-US" w:eastAsia="zh-CN" w:bidi="ar"/>
              </w:rPr>
              <w:t>；</w:t>
            </w:r>
          </w:p>
          <w:p>
            <w:pPr>
              <w:keepNext w:val="0"/>
              <w:keepLines w:val="0"/>
              <w:pageBreakBefore w:val="0"/>
              <w:widowControl/>
              <w:numPr>
                <w:ilvl w:val="0"/>
                <w:numId w:val="12"/>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strike w:val="0"/>
                <w:dstrike w:val="0"/>
                <w:color w:val="auto"/>
                <w:kern w:val="0"/>
                <w:sz w:val="22"/>
                <w:szCs w:val="22"/>
                <w:lang w:val="en-US" w:eastAsia="zh-CN" w:bidi="ar"/>
              </w:rPr>
            </w:pPr>
            <w:r>
              <w:rPr>
                <w:rFonts w:hint="default" w:ascii="Times New Roman" w:hAnsi="Times New Roman" w:eastAsia="宋体" w:cs="Times New Roman"/>
                <w:strike w:val="0"/>
                <w:dstrike w:val="0"/>
                <w:color w:val="auto"/>
                <w:kern w:val="0"/>
                <w:sz w:val="22"/>
                <w:szCs w:val="22"/>
                <w:lang w:val="en-US" w:eastAsia="zh-CN" w:bidi="ar"/>
              </w:rPr>
              <w:t>无车辆二级维护记录或二级维护出厂合格证，</w:t>
            </w:r>
            <w:r>
              <w:rPr>
                <w:rFonts w:hint="eastAsia" w:ascii="Times New Roman" w:hAnsi="Times New Roman" w:eastAsia="宋体" w:cs="Times New Roman"/>
                <w:strike w:val="0"/>
                <w:dstrike w:val="0"/>
                <w:color w:val="auto"/>
                <w:kern w:val="0"/>
                <w:sz w:val="22"/>
                <w:szCs w:val="22"/>
                <w:lang w:val="en-US" w:eastAsia="zh-CN" w:bidi="ar"/>
              </w:rPr>
              <w:t>不符合</w:t>
            </w:r>
            <w:r>
              <w:rPr>
                <w:rFonts w:hint="default" w:ascii="Times New Roman" w:hAnsi="Times New Roman" w:eastAsia="宋体" w:cs="Times New Roman"/>
                <w:strike w:val="0"/>
                <w:dstrike w:val="0"/>
                <w:color w:val="auto"/>
                <w:kern w:val="0"/>
                <w:sz w:val="22"/>
                <w:szCs w:val="22"/>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default" w:ascii="Times New Roman" w:hAnsi="Times New Roman" w:eastAsia="宋体" w:cs="Times New Roman"/>
                <w:strike w:val="0"/>
                <w:dstrike w:val="0"/>
                <w:color w:val="auto"/>
                <w:sz w:val="22"/>
                <w:szCs w:val="22"/>
              </w:rPr>
            </w:pPr>
            <w:r>
              <w:rPr>
                <w:rFonts w:hint="default" w:ascii="Times New Roman" w:hAnsi="Times New Roman" w:eastAsia="宋体" w:cs="Times New Roman"/>
                <w:strike w:val="0"/>
                <w:dstrike w:val="0"/>
                <w:color w:val="auto"/>
                <w:kern w:val="0"/>
                <w:sz w:val="22"/>
                <w:szCs w:val="22"/>
                <w:lang w:val="en-US" w:eastAsia="zh-CN" w:bidi="ar"/>
              </w:rPr>
              <w:t>3.无车辆安全设备设施维护记录，</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strike w:val="0"/>
                <w:dstrike w:val="0"/>
                <w:color w:val="auto"/>
                <w:kern w:val="0"/>
                <w:sz w:val="22"/>
                <w:szCs w:val="22"/>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strike w:val="0"/>
                <w:dstrike w:val="0"/>
                <w:color w:val="auto"/>
                <w:sz w:val="22"/>
                <w:szCs w:val="22"/>
              </w:rPr>
            </w:pPr>
            <w:r>
              <w:rPr>
                <w:rFonts w:hint="default" w:ascii="Times New Roman" w:hAnsi="Times New Roman" w:eastAsia="宋体" w:cs="Times New Roman"/>
                <w:strike w:val="0"/>
                <w:dstrike w:val="0"/>
                <w:color w:val="auto"/>
                <w:kern w:val="0"/>
                <w:sz w:val="22"/>
                <w:szCs w:val="22"/>
                <w:lang w:val="en-US" w:eastAsia="zh-CN" w:bidi="ar"/>
              </w:rPr>
              <w:t>4.现场检查车辆安全设备设施不符合要求，</w:t>
            </w:r>
            <w:r>
              <w:rPr>
                <w:rFonts w:hint="eastAsia" w:ascii="Times New Roman" w:hAnsi="Times New Roman" w:eastAsia="宋体" w:cs="Times New Roman"/>
                <w:color w:val="auto"/>
                <w:kern w:val="0"/>
                <w:sz w:val="22"/>
                <w:szCs w:val="22"/>
                <w:lang w:val="en-US" w:eastAsia="zh-CN" w:bidi="ar"/>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strike w:val="0"/>
                <w:dstrike w:val="0"/>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strike w:val="0"/>
                <w:dstrike w:val="0"/>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eastAsia" w:ascii="Times New Roman" w:hAnsi="Times New Roman" w:eastAsia="宋体" w:cs="Times New Roman"/>
                <w:color w:val="auto"/>
                <w:kern w:val="0"/>
                <w:sz w:val="22"/>
                <w:szCs w:val="22"/>
                <w:lang w:val="en-US" w:eastAsia="zh-CN" w:bidi="ar"/>
              </w:rPr>
              <w:t>运营车辆符合国家标准规定的使用年限或运营里程数</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货运车辆作为一种安全生产作业工具，必须通过使用年限或使用工作量考察，防止出现车辆超期服役导致车辆安全技术性能的衰退引发安全事故。此条有两层含义，一是要求货运企业不得使用达到或超过使用年限的货运车辆从事经营；二是要求货运企业不得使用达到或超过规定行驶公里数的货运车辆从事经营。道路货物运输企业应严格按照《汽车报废标准》规定加强车辆使用管理，禁止使用报废的、擅自改装的、拼装的、检测不合格的和其他不符合国家规定的车辆从事道路货物运输经营。</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strike w:val="0"/>
                <w:dstrike w:val="0"/>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lang w:val="en-US" w:eastAsia="zh-CN" w:bidi="ar"/>
              </w:rPr>
              <w:t>20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strike w:val="0"/>
                <w:dstrike w:val="0"/>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strike w:val="0"/>
                <w:dstrike w:val="0"/>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lang w:val="en-US" w:eastAsia="zh-CN" w:bidi="ar"/>
              </w:rPr>
              <w:t>1.车辆存在超期运营，不符合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lang w:val="en-US" w:eastAsia="zh-CN"/>
              </w:rPr>
            </w:pPr>
            <w:r>
              <w:rPr>
                <w:rFonts w:hint="eastAsia" w:ascii="Times New Roman" w:hAnsi="Times New Roman" w:eastAsia="宋体" w:cs="Times New Roman"/>
                <w:strike w:val="0"/>
                <w:dstrike w:val="0"/>
                <w:color w:val="auto"/>
                <w:kern w:val="0"/>
                <w:sz w:val="22"/>
                <w:szCs w:val="22"/>
                <w:lang w:val="en-US" w:eastAsia="zh-CN" w:bidi="ar"/>
              </w:rPr>
              <w:t>2.超期包含超过法律法规规定和企业自己的规定</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strike w:val="0"/>
                <w:dstrike w:val="0"/>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strike w:val="0"/>
                <w:dstrike w:val="0"/>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七、</w:t>
            </w:r>
            <w:r>
              <w:rPr>
                <w:rFonts w:hint="default" w:ascii="Times New Roman" w:hAnsi="Times New Roman" w:eastAsia="宋体" w:cs="Times New Roman"/>
                <w:color w:val="auto"/>
                <w:kern w:val="0"/>
                <w:sz w:val="22"/>
                <w:szCs w:val="22"/>
                <w:lang w:val="en-US" w:eastAsia="zh-CN" w:bidi="ar"/>
              </w:rPr>
              <w:t xml:space="preserve">科技创新与信息化 </w:t>
            </w:r>
            <w:r>
              <w:rPr>
                <w:rFonts w:hint="eastAsia" w:ascii="Times New Roman" w:hAnsi="Times New Roman" w:eastAsia="宋体" w:cs="Times New Roman"/>
                <w:color w:val="auto"/>
                <w:kern w:val="0"/>
                <w:sz w:val="22"/>
                <w:szCs w:val="22"/>
                <w:lang w:val="en-US" w:eastAsia="zh-CN" w:bidi="ar"/>
              </w:rPr>
              <w:t>70</w:t>
            </w:r>
            <w:r>
              <w:rPr>
                <w:rFonts w:hint="default" w:ascii="Times New Roman" w:hAnsi="Times New Roman" w:eastAsia="宋体" w:cs="Times New Roman"/>
                <w:color w:val="auto"/>
                <w:kern w:val="0"/>
                <w:sz w:val="22"/>
                <w:szCs w:val="22"/>
                <w:lang w:val="en-US" w:eastAsia="zh-CN" w:bidi="ar"/>
              </w:rPr>
              <w:t>分</w:t>
            </w:r>
          </w:p>
        </w:tc>
        <w:tc>
          <w:tcPr>
            <w:tcW w:w="65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 xml:space="preserve">科技应用 </w:t>
            </w:r>
            <w:r>
              <w:rPr>
                <w:rFonts w:hint="eastAsia" w:ascii="Times New Roman" w:hAnsi="Times New Roman" w:eastAsia="宋体" w:cs="Times New Roman"/>
                <w:color w:val="auto"/>
                <w:kern w:val="0"/>
                <w:sz w:val="22"/>
                <w:szCs w:val="22"/>
                <w:lang w:val="en-US" w:eastAsia="zh-CN" w:bidi="ar"/>
              </w:rPr>
              <w:t>（70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按照标准建设符合《道路运输车辆卫星定位系统 平台技术要求》GB/T 35658等标准要求的道路运输车辆动态监控平台，或者使用符合条件的社会化卫星定位系统监控平台，对所属道路运输车辆和驾驶员运行过程进行实时监控和管理</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《道路运输车辆动态监督管理办法》第九条规定</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道路旅客运输企业、道路</w:t>
            </w:r>
            <w:r>
              <w:rPr>
                <w:rFonts w:hint="eastAsia" w:ascii="Times New Roman" w:hAnsi="Times New Roman" w:eastAsia="宋体" w:cs="Times New Roman"/>
                <w:color w:val="auto"/>
                <w:kern w:val="0"/>
                <w:sz w:val="22"/>
                <w:szCs w:val="22"/>
                <w:lang w:val="en-US" w:eastAsia="zh-CN" w:bidi="ar"/>
              </w:rPr>
              <w:t>普通货物</w:t>
            </w:r>
            <w:r>
              <w:rPr>
                <w:rFonts w:hint="default" w:ascii="Times New Roman" w:hAnsi="Times New Roman" w:eastAsia="宋体" w:cs="Times New Roman"/>
                <w:color w:val="auto"/>
                <w:kern w:val="0"/>
                <w:sz w:val="22"/>
                <w:szCs w:val="22"/>
                <w:lang w:val="en-US" w:eastAsia="zh-CN" w:bidi="ar"/>
              </w:rPr>
              <w:t>运输企业和拥有50辆及以上重型载货汽车或者牵引车的道路货物运输企业应当按照标准建设道路运输车辆动态监控平台，或者使用符合条件的社会化卫星定位系统监控平台（以下统称监控平台），对所属道路运输车辆和驾驶员运行过程进行实时监控和管理</w:t>
            </w:r>
            <w:r>
              <w:rPr>
                <w:rFonts w:hint="eastAsia" w:ascii="Times New Roman" w:hAnsi="Times New Roman" w:eastAsia="宋体" w:cs="Times New Roman"/>
                <w:color w:val="auto"/>
                <w:kern w:val="0"/>
                <w:sz w:val="22"/>
                <w:szCs w:val="22"/>
                <w:lang w:val="en-US" w:eastAsia="zh-CN" w:bidi="ar"/>
              </w:rPr>
              <w:t>”</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未建立动态监控平台或未使用社会化动态监控平台对营运车辆进行监督，</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2.监控平台不能呈现在营车辆动态信息</w:t>
            </w:r>
            <w:r>
              <w:rPr>
                <w:rFonts w:hint="eastAsia" w:ascii="Times New Roman" w:hAnsi="Times New Roman" w:eastAsia="宋体" w:cs="Times New Roman"/>
                <w:color w:val="auto"/>
                <w:kern w:val="0"/>
                <w:sz w:val="22"/>
                <w:szCs w:val="22"/>
                <w:lang w:val="en-US" w:eastAsia="zh-CN" w:bidi="ar"/>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90" w:hRule="atLeast"/>
        </w:trPr>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企业为所属</w:t>
            </w:r>
            <w:r>
              <w:rPr>
                <w:rFonts w:hint="eastAsia" w:ascii="Times New Roman" w:hAnsi="Times New Roman" w:eastAsia="宋体" w:cs="Times New Roman"/>
                <w:color w:val="auto"/>
                <w:kern w:val="0"/>
                <w:sz w:val="22"/>
                <w:szCs w:val="22"/>
                <w:lang w:val="en-US" w:eastAsia="zh-CN" w:bidi="ar"/>
              </w:rPr>
              <w:t>普通货物</w:t>
            </w:r>
            <w:r>
              <w:rPr>
                <w:rFonts w:hint="default" w:ascii="Times New Roman" w:hAnsi="Times New Roman" w:eastAsia="宋体" w:cs="Times New Roman"/>
                <w:color w:val="auto"/>
                <w:kern w:val="0"/>
                <w:sz w:val="22"/>
                <w:szCs w:val="22"/>
                <w:lang w:val="en-US" w:eastAsia="zh-CN" w:bidi="ar"/>
              </w:rPr>
              <w:t>运输车辆安装符合《道路运输车辆卫星定位系统车载终端技术要求》JT/T 794要求的卫星定位装置终端</w:t>
            </w:r>
            <w:r>
              <w:rPr>
                <w:rFonts w:hint="eastAsia" w:ascii="Times New Roman" w:hAnsi="Times New Roman" w:eastAsia="宋体" w:cs="Times New Roman"/>
                <w:color w:val="auto"/>
                <w:kern w:val="0"/>
                <w:sz w:val="22"/>
                <w:szCs w:val="22"/>
                <w:lang w:val="en-US" w:eastAsia="zh-CN" w:bidi="ar"/>
              </w:rPr>
              <w:t>,</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sz w:val="22"/>
                <w:szCs w:val="22"/>
                <w:lang w:val="en-US" w:eastAsia="zh-CN"/>
              </w:rPr>
            </w:pPr>
            <w:r>
              <w:rPr>
                <w:rFonts w:hint="default"/>
                <w:sz w:val="22"/>
                <w:szCs w:val="22"/>
                <w:lang w:val="en-US" w:eastAsia="zh-CN"/>
              </w:rPr>
              <w:t>《道路运输车辆动态监督管理办法》</w:t>
            </w:r>
            <w:r>
              <w:rPr>
                <w:rFonts w:hint="eastAsia"/>
                <w:sz w:val="22"/>
                <w:szCs w:val="22"/>
                <w:lang w:val="en-US" w:eastAsia="zh-CN"/>
              </w:rPr>
              <w:t>普通货物</w:t>
            </w:r>
            <w:r>
              <w:rPr>
                <w:rFonts w:hint="default"/>
                <w:sz w:val="22"/>
                <w:szCs w:val="22"/>
                <w:lang w:val="en-US" w:eastAsia="zh-CN"/>
              </w:rPr>
              <w:t>运输车辆在出厂前应当安装符合标准的卫星定位装置。在道路运输车辆上安装的卫星定位装置应符合以下标准要求：</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sz w:val="22"/>
                <w:szCs w:val="22"/>
                <w:lang w:val="en-US" w:eastAsia="zh-CN"/>
              </w:rPr>
            </w:pPr>
            <w:r>
              <w:rPr>
                <w:rFonts w:hint="default"/>
                <w:sz w:val="22"/>
                <w:szCs w:val="22"/>
                <w:lang w:val="en-US" w:eastAsia="zh-CN"/>
              </w:rPr>
              <w:t>（一）《道路运输车辆卫星定位系统车载终端技术要求》(JT/T 794-2019)；</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sz w:val="22"/>
                <w:szCs w:val="22"/>
                <w:lang w:val="en-US" w:eastAsia="zh-CN"/>
              </w:rPr>
            </w:pPr>
            <w:r>
              <w:rPr>
                <w:rFonts w:hint="default"/>
                <w:sz w:val="22"/>
                <w:szCs w:val="22"/>
                <w:lang w:val="en-US" w:eastAsia="zh-CN"/>
              </w:rPr>
              <w:t>（二）《道路运输车辆卫星定位系统终端通讯协议及数据格式》（JT/T 808）；</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sz w:val="22"/>
                <w:szCs w:val="22"/>
                <w:lang w:val="en-US" w:eastAsia="zh-CN"/>
              </w:rPr>
            </w:pPr>
            <w:r>
              <w:rPr>
                <w:rFonts w:hint="default"/>
                <w:sz w:val="22"/>
                <w:szCs w:val="22"/>
                <w:lang w:val="en-US" w:eastAsia="zh-CN"/>
              </w:rPr>
              <w:t>（三）《机动车运行安全技术条件》（GB7258）；</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sz w:val="22"/>
                <w:szCs w:val="22"/>
                <w:lang w:val="en-US" w:eastAsia="zh-CN"/>
              </w:rPr>
            </w:pPr>
            <w:r>
              <w:rPr>
                <w:rFonts w:hint="default"/>
                <w:sz w:val="22"/>
                <w:szCs w:val="22"/>
                <w:lang w:val="en-US" w:eastAsia="zh-CN"/>
              </w:rPr>
              <w:t>（四）《汽车行驶记录仪》（GB/T 19056）</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《车载终端技术要求》(JT/T 794-2019)，</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t>2.无卫星定位装置安装使用规定</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3.无车载终端安装使用登记台账，</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4.定位装置不符合《道路运输车辆卫星定位系统车载终端技术要求》(JT/T 794-2019)，</w:t>
            </w:r>
            <w:r>
              <w:rPr>
                <w:rFonts w:hint="eastAsia" w:ascii="Times New Roman" w:hAnsi="Times New Roman" w:eastAsia="宋体" w:cs="Times New Roman"/>
                <w:color w:val="auto"/>
                <w:kern w:val="0"/>
                <w:sz w:val="22"/>
                <w:szCs w:val="22"/>
                <w:lang w:val="en-US" w:eastAsia="zh-CN" w:bidi="ar"/>
              </w:rPr>
              <w:t>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eastAsia" w:ascii="Times New Roman" w:hAnsi="Times New Roman" w:eastAsia="宋体" w:cs="Times New Roman"/>
                <w:color w:val="auto"/>
                <w:kern w:val="0"/>
                <w:sz w:val="22"/>
                <w:szCs w:val="22"/>
                <w:lang w:val="en-US" w:eastAsia="zh-CN" w:bidi="ar"/>
              </w:rPr>
              <w:t>5.</w:t>
            </w:r>
            <w:r>
              <w:rPr>
                <w:rFonts w:hint="default" w:ascii="Times New Roman" w:hAnsi="Times New Roman" w:eastAsia="宋体" w:cs="Times New Roman"/>
                <w:color w:val="auto"/>
                <w:kern w:val="0"/>
                <w:sz w:val="22"/>
                <w:szCs w:val="22"/>
                <w:lang w:val="en-US" w:eastAsia="zh-CN" w:bidi="ar"/>
              </w:rPr>
              <w:t>监控平台不能呈现在营车辆动态信息</w:t>
            </w:r>
            <w:r>
              <w:rPr>
                <w:rFonts w:hint="eastAsia" w:ascii="Times New Roman" w:hAnsi="Times New Roman" w:eastAsia="宋体" w:cs="Times New Roman"/>
                <w:color w:val="auto"/>
                <w:kern w:val="0"/>
                <w:sz w:val="22"/>
                <w:szCs w:val="22"/>
                <w:lang w:val="en-US" w:eastAsia="zh-CN" w:bidi="ar"/>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企业按要求配备运输车辆专职动态监控人员，监控人员经培训、考试合格后上岗</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专职监控人员配置原则上按照监控平台每接入100辆车设1人的标准配备，最低不少于2人。监控人员应当掌握国家相关法规和政策，经运输企业培训、考试合格后上岗</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未配备专职动态监控人员，</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2.监控管理人员未经培训考核</w:t>
            </w:r>
            <w:r>
              <w:rPr>
                <w:rFonts w:hint="eastAsia" w:ascii="Times New Roman" w:hAnsi="Times New Roman" w:eastAsia="宋体" w:cs="Times New Roman"/>
                <w:color w:val="auto"/>
                <w:kern w:val="0"/>
                <w:sz w:val="22"/>
                <w:szCs w:val="22"/>
                <w:lang w:val="en-US" w:eastAsia="zh-CN" w:bidi="ar"/>
              </w:rPr>
              <w:t>，不符合；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t>3.</w:t>
            </w:r>
            <w:r>
              <w:rPr>
                <w:rFonts w:hint="eastAsia" w:ascii="Times New Roman" w:hAnsi="Times New Roman" w:eastAsia="宋体" w:cs="Times New Roman"/>
                <w:color w:val="auto"/>
                <w:kern w:val="0"/>
                <w:sz w:val="22"/>
                <w:szCs w:val="22"/>
                <w:lang w:val="en-US" w:eastAsia="zh-CN" w:bidi="ar"/>
              </w:rPr>
              <w:t>未对</w:t>
            </w:r>
            <w:r>
              <w:rPr>
                <w:rFonts w:hint="default" w:ascii="Times New Roman" w:hAnsi="Times New Roman" w:eastAsia="宋体" w:cs="Times New Roman"/>
                <w:color w:val="auto"/>
                <w:kern w:val="0"/>
                <w:sz w:val="22"/>
                <w:szCs w:val="22"/>
                <w:lang w:val="en-US" w:eastAsia="zh-CN" w:bidi="ar"/>
              </w:rPr>
              <w:t>专职动态监控管理人员</w:t>
            </w:r>
            <w:r>
              <w:rPr>
                <w:rFonts w:hint="eastAsia" w:ascii="Times New Roman" w:hAnsi="Times New Roman" w:eastAsia="宋体" w:cs="Times New Roman"/>
                <w:color w:val="auto"/>
                <w:kern w:val="0"/>
                <w:sz w:val="22"/>
                <w:szCs w:val="22"/>
                <w:lang w:val="en-US" w:eastAsia="zh-CN" w:bidi="ar"/>
              </w:rPr>
              <w:t>进行</w:t>
            </w:r>
            <w:r>
              <w:rPr>
                <w:rFonts w:hint="default" w:ascii="Times New Roman" w:hAnsi="Times New Roman" w:eastAsia="宋体" w:cs="Times New Roman"/>
                <w:color w:val="auto"/>
                <w:kern w:val="0"/>
                <w:sz w:val="22"/>
                <w:szCs w:val="22"/>
                <w:lang w:val="en-US" w:eastAsia="zh-CN" w:bidi="ar"/>
              </w:rPr>
              <w:t>动态监</w:t>
            </w:r>
            <w:r>
              <w:rPr>
                <w:rFonts w:hint="eastAsia" w:ascii="Times New Roman" w:hAnsi="Times New Roman" w:eastAsia="宋体" w:cs="Times New Roman"/>
                <w:color w:val="auto"/>
                <w:kern w:val="0"/>
                <w:sz w:val="22"/>
                <w:szCs w:val="22"/>
                <w:lang w:val="en-US" w:eastAsia="zh-CN" w:bidi="ar"/>
              </w:rPr>
              <w:t>或监控记录未保存的，不符合。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4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④</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建立动态监控值班制度，对营运车辆进行实时动态监控；与上级监管平台进行互联互通</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企业应该建立动态监控管理制度，明确动态监控管理人员；</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企业应对营运车辆进行实时动态监控，对上级监管平台发出的指令进行应答并执行有关要求</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FF0000"/>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1</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未建立动态监控值班制度</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的不符合</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2</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未实际开展</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动态监控</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，监控存在弄虚作假的，不符合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fldChar w:fldCharType="begin"/>
            </w:r>
            <w:r>
              <w:rPr>
                <w:rFonts w:hint="eastAsia" w:ascii="Times New Roman" w:hAnsi="Times New Roman" w:eastAsia="宋体" w:cs="Times New Roman"/>
                <w:color w:val="auto"/>
                <w:kern w:val="0"/>
                <w:sz w:val="22"/>
                <w:szCs w:val="22"/>
                <w:lang w:val="en-US" w:eastAsia="zh-CN" w:bidi="ar"/>
              </w:rPr>
              <w:instrText xml:space="preserve"> = 5 \* GB3 \* MERGEFORMAT </w:instrText>
            </w:r>
            <w:r>
              <w:rPr>
                <w:rFonts w:hint="eastAsia"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⑤</w:t>
            </w:r>
            <w:r>
              <w:rPr>
                <w:rFonts w:hint="eastAsia" w:ascii="Times New Roman" w:hAnsi="Times New Roman" w:eastAsia="宋体" w:cs="Times New Roman"/>
                <w:color w:val="auto"/>
                <w:kern w:val="0"/>
                <w:sz w:val="22"/>
                <w:szCs w:val="22"/>
                <w:lang w:val="en-US" w:eastAsia="zh-CN" w:bidi="ar"/>
              </w:rPr>
              <w:fldChar w:fldCharType="end"/>
            </w:r>
            <w:r>
              <w:rPr>
                <w:rFonts w:hint="eastAsia" w:ascii="Times New Roman" w:hAnsi="Times New Roman" w:eastAsia="宋体" w:cs="Times New Roman"/>
                <w:color w:val="auto"/>
                <w:kern w:val="0"/>
                <w:sz w:val="22"/>
                <w:szCs w:val="22"/>
                <w:lang w:val="en-US" w:eastAsia="zh-CN" w:bidi="ar"/>
              </w:rPr>
              <w:t>企业应建立监控记录，监控人员应实时监控，详实记录车辆信息、行驶路线、车出发时间、监控道路风险、途中停靠地点、到达目的地时间等信息；</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企业自行监控或委托第三方监控，应符合实时监控要求，详实记录监控信息；抽查各行驶路线风险点管控情况</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highlight w:val="none"/>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3"/>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企业未建立监控记录；不符合；</w:t>
            </w:r>
          </w:p>
          <w:p>
            <w:pPr>
              <w:keepNext w:val="0"/>
              <w:keepLines w:val="0"/>
              <w:pageBreakBefore w:val="0"/>
              <w:widowControl/>
              <w:numPr>
                <w:ilvl w:val="0"/>
                <w:numId w:val="13"/>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监控记录信息不全，不符合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sz w:val="18"/>
                <w:szCs w:val="18"/>
                <w:lang w:val="en-US" w:eastAsia="zh-CN"/>
              </w:rPr>
              <w:fldChar w:fldCharType="begin"/>
            </w:r>
            <w:r>
              <w:rPr>
                <w:rFonts w:hint="eastAsia" w:ascii="Times New Roman" w:hAnsi="Times New Roman" w:eastAsia="宋体" w:cs="Times New Roman"/>
                <w:color w:val="auto"/>
                <w:sz w:val="18"/>
                <w:szCs w:val="18"/>
                <w:lang w:val="en-US" w:eastAsia="zh-CN"/>
              </w:rPr>
              <w:instrText xml:space="preserve"> = 6 \* GB3 \* MERGEFORMAT </w:instrText>
            </w:r>
            <w:r>
              <w:rPr>
                <w:rFonts w:hint="eastAsia" w:ascii="Times New Roman" w:hAnsi="Times New Roman" w:eastAsia="宋体" w:cs="Times New Roman"/>
                <w:color w:val="auto"/>
                <w:sz w:val="18"/>
                <w:szCs w:val="18"/>
                <w:lang w:val="en-US" w:eastAsia="zh-CN"/>
              </w:rPr>
              <w:fldChar w:fldCharType="separate"/>
            </w:r>
            <w:r>
              <w:rPr>
                <w:color w:val="auto"/>
                <w:sz w:val="18"/>
                <w:szCs w:val="18"/>
              </w:rPr>
              <w:t>⑥</w:t>
            </w:r>
            <w:r>
              <w:rPr>
                <w:rFonts w:hint="eastAsia" w:ascii="Times New Roman" w:hAnsi="Times New Roman" w:eastAsia="宋体" w:cs="Times New Roman"/>
                <w:color w:val="auto"/>
                <w:sz w:val="18"/>
                <w:szCs w:val="18"/>
                <w:lang w:val="en-US" w:eastAsia="zh-CN"/>
              </w:rPr>
              <w:fldChar w:fldCharType="end"/>
            </w:r>
            <w:r>
              <w:rPr>
                <w:rFonts w:hint="eastAsia" w:ascii="Times New Roman" w:hAnsi="Times New Roman" w:eastAsia="宋体" w:cs="Times New Roman"/>
                <w:color w:val="auto"/>
                <w:sz w:val="22"/>
                <w:szCs w:val="22"/>
                <w:lang w:val="en-US" w:eastAsia="zh-CN"/>
              </w:rPr>
              <w:t>企业在监控平台上应在运输路线</w:t>
            </w:r>
            <w:r>
              <w:rPr>
                <w:rFonts w:hint="eastAsia" w:ascii="Times New Roman" w:hAnsi="Times New Roman" w:eastAsia="宋体" w:cs="Times New Roman"/>
                <w:color w:val="auto"/>
                <w:sz w:val="22"/>
                <w:szCs w:val="22"/>
                <w:highlight w:val="none"/>
                <w:lang w:val="en-US" w:eastAsia="zh-CN"/>
              </w:rPr>
              <w:t>上</w:t>
            </w:r>
            <w:r>
              <w:rPr>
                <w:rFonts w:hint="eastAsia" w:ascii="Times New Roman" w:hAnsi="Times New Roman" w:eastAsia="宋体" w:cs="Times New Roman"/>
                <w:color w:val="auto"/>
                <w:kern w:val="0"/>
                <w:sz w:val="22"/>
                <w:szCs w:val="22"/>
                <w:highlight w:val="none"/>
                <w:lang w:val="en-US" w:eastAsia="zh-CN" w:bidi="ar"/>
              </w:rPr>
              <w:t>设置道路风险点，提前进行风险提醒。</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企业按照固定行驶路线，进行风险辨识评价，将风险点设置在监控平台的路线上，并设置风险提醒告知。</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1.未在监控平台的运营路上设置风险点的，不符合；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2.未设置风险提醒的，不符合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fldChar w:fldCharType="begin"/>
            </w:r>
            <w:r>
              <w:rPr>
                <w:rFonts w:hint="eastAsia" w:ascii="Times New Roman" w:hAnsi="Times New Roman" w:eastAsia="宋体" w:cs="Times New Roman"/>
                <w:color w:val="auto"/>
                <w:sz w:val="22"/>
                <w:szCs w:val="22"/>
                <w:lang w:val="en-US" w:eastAsia="zh-CN"/>
              </w:rPr>
              <w:instrText xml:space="preserve"> = 7 \* GB3 \* MERGEFORMAT </w:instrText>
            </w:r>
            <w:r>
              <w:rPr>
                <w:rFonts w:hint="eastAsia" w:ascii="Times New Roman" w:hAnsi="Times New Roman" w:eastAsia="宋体" w:cs="Times New Roman"/>
                <w:color w:val="auto"/>
                <w:sz w:val="22"/>
                <w:szCs w:val="22"/>
                <w:lang w:val="en-US" w:eastAsia="zh-CN"/>
              </w:rPr>
              <w:fldChar w:fldCharType="separate"/>
            </w:r>
            <w:r>
              <w:rPr>
                <w:rFonts w:hint="eastAsia" w:ascii="Times New Roman" w:hAnsi="Times New Roman" w:eastAsia="宋体" w:cs="Times New Roman"/>
                <w:color w:val="auto"/>
                <w:sz w:val="22"/>
                <w:szCs w:val="22"/>
                <w:lang w:val="en-US" w:eastAsia="zh-CN"/>
              </w:rPr>
              <w:t>⑦</w:t>
            </w:r>
            <w:r>
              <w:rPr>
                <w:rFonts w:hint="eastAsia" w:ascii="Times New Roman" w:hAnsi="Times New Roman" w:eastAsia="宋体" w:cs="Times New Roman"/>
                <w:color w:val="auto"/>
                <w:sz w:val="22"/>
                <w:szCs w:val="22"/>
                <w:lang w:val="en-US" w:eastAsia="zh-CN"/>
              </w:rPr>
              <w:fldChar w:fldCharType="end"/>
            </w:r>
            <w:r>
              <w:rPr>
                <w:rFonts w:hint="eastAsia" w:ascii="Times New Roman" w:hAnsi="Times New Roman" w:eastAsia="宋体" w:cs="Times New Roman"/>
                <w:color w:val="auto"/>
                <w:sz w:val="22"/>
                <w:szCs w:val="22"/>
                <w:lang w:val="en-US" w:eastAsia="zh-CN"/>
              </w:rPr>
              <w:t>企业应</w:t>
            </w:r>
            <w:r>
              <w:rPr>
                <w:rFonts w:hint="eastAsia" w:ascii="宋体" w:hAnsi="宋体"/>
                <w:color w:val="000000"/>
                <w:szCs w:val="21"/>
              </w:rPr>
              <w:t>按规定及时纠正和处理违法违规行为</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sz w:val="22"/>
                <w:szCs w:val="22"/>
                <w:lang w:val="en-US" w:eastAsia="zh-CN"/>
              </w:rPr>
              <w:t>企业应</w:t>
            </w:r>
            <w:r>
              <w:rPr>
                <w:rFonts w:hint="eastAsia" w:ascii="宋体" w:hAnsi="宋体"/>
                <w:color w:val="000000"/>
                <w:szCs w:val="21"/>
              </w:rPr>
              <w:t>按规定及时纠正和处理超速、疲劳驾驶、故意破坏卫星定位装置等违法违规行为</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eastAsia" w:ascii="Times New Roman" w:hAnsi="Times New Roman" w:eastAsia="宋体" w:cs="Times New Roman"/>
                <w:color w:val="FF0000"/>
                <w:kern w:val="2"/>
                <w:sz w:val="22"/>
                <w:szCs w:val="22"/>
                <w:lang w:val="en-US" w:eastAsia="zh-CN" w:bidi="ar-SA"/>
              </w:rPr>
            </w:pPr>
            <w:r>
              <w:rPr>
                <w:rFonts w:hint="eastAsia" w:ascii="Times New Roman" w:hAnsi="Times New Roman" w:eastAsia="宋体" w:cs="Times New Roman"/>
                <w:color w:val="FF0000"/>
                <w:kern w:val="2"/>
                <w:sz w:val="22"/>
                <w:szCs w:val="22"/>
                <w:lang w:val="en-US" w:eastAsia="zh-CN" w:bidi="ar-SA"/>
              </w:rPr>
              <w:t>10</w:t>
            </w:r>
          </w:p>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FF0000"/>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1.未按规定处理，发现1起扣1分</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sz w:val="22"/>
                <w:szCs w:val="22"/>
                <w:lang w:val="en-US" w:eastAsia="zh-CN"/>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sz w:val="22"/>
                <w:szCs w:val="22"/>
                <w:lang w:val="en-US" w:eastAsia="zh-CN"/>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八、</w:t>
            </w:r>
            <w:r>
              <w:rPr>
                <w:rFonts w:hint="default" w:ascii="Times New Roman" w:hAnsi="Times New Roman" w:eastAsia="宋体" w:cs="Times New Roman"/>
                <w:color w:val="auto"/>
                <w:kern w:val="0"/>
                <w:sz w:val="22"/>
                <w:szCs w:val="22"/>
                <w:lang w:val="en-US" w:eastAsia="zh-CN" w:bidi="ar"/>
              </w:rPr>
              <w:t xml:space="preserve"> 教育培训 </w:t>
            </w:r>
            <w:r>
              <w:rPr>
                <w:rFonts w:hint="eastAsia" w:ascii="Times New Roman" w:hAnsi="Times New Roman" w:eastAsia="宋体" w:cs="Times New Roman"/>
                <w:color w:val="auto"/>
                <w:kern w:val="0"/>
                <w:sz w:val="22"/>
                <w:szCs w:val="22"/>
                <w:lang w:val="en-US" w:eastAsia="zh-CN" w:bidi="ar"/>
              </w:rPr>
              <w:t>70</w:t>
            </w:r>
            <w:r>
              <w:rPr>
                <w:rFonts w:hint="default" w:ascii="Times New Roman" w:hAnsi="Times New Roman" w:eastAsia="宋体" w:cs="Times New Roman"/>
                <w:color w:val="auto"/>
                <w:kern w:val="0"/>
                <w:sz w:val="22"/>
                <w:szCs w:val="22"/>
                <w:lang w:val="en-US" w:eastAsia="zh-CN" w:bidi="ar"/>
              </w:rPr>
              <w:t>分</w:t>
            </w:r>
          </w:p>
        </w:tc>
        <w:tc>
          <w:tcPr>
            <w:tcW w:w="65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8.1 培训管理</w:t>
            </w:r>
            <w:r>
              <w:rPr>
                <w:rFonts w:hint="eastAsia" w:ascii="Times New Roman" w:hAnsi="Times New Roman" w:eastAsia="宋体" w:cs="Times New Roman"/>
                <w:color w:val="auto"/>
                <w:kern w:val="0"/>
                <w:sz w:val="22"/>
                <w:szCs w:val="22"/>
                <w:lang w:val="en-US" w:eastAsia="zh-CN" w:bidi="ar"/>
              </w:rPr>
              <w:t>（20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t>企业应按规定开展安全教育培训，明确安全教育培训目标、内容和要求，制定并实施安全教育培训计划</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企业应组织安全教育培训</w:t>
            </w:r>
            <w:r>
              <w:rPr>
                <w:rFonts w:hint="eastAsia" w:ascii="Times New Roman" w:hAnsi="Times New Roman" w:eastAsia="宋体" w:cs="Times New Roman"/>
                <w:color w:val="auto"/>
                <w:kern w:val="0"/>
                <w:sz w:val="22"/>
                <w:szCs w:val="22"/>
                <w:lang w:val="en-US" w:eastAsia="zh-CN" w:bidi="ar"/>
              </w:rPr>
              <w:t>，从业人员每年再培训不少于24学时</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Arial" w:hAnsi="Arial" w:eastAsia="宋体" w:cs="Arial"/>
                <w:i w:val="0"/>
                <w:iCs w:val="0"/>
                <w:caps w:val="0"/>
                <w:color w:val="auto"/>
                <w:spacing w:val="0"/>
                <w:kern w:val="0"/>
                <w:sz w:val="22"/>
                <w:szCs w:val="22"/>
                <w:shd w:val="clear" w:fill="FFFFFF"/>
                <w:lang w:val="en-US" w:eastAsia="zh-CN" w:bidi="ar"/>
              </w:rPr>
            </w:pP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道路货物运输及站场管理规定</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第二十条</w:t>
            </w:r>
            <w:r>
              <w:rPr>
                <w:rFonts w:hint="eastAsia" w:ascii="Times New Roman" w:hAnsi="Times New Roman" w:eastAsia="宋体" w:cs="Times New Roman"/>
                <w:color w:val="auto"/>
                <w:kern w:val="0"/>
                <w:sz w:val="22"/>
                <w:szCs w:val="22"/>
                <w:lang w:val="en-US" w:eastAsia="zh-CN" w:bidi="ar"/>
              </w:rPr>
              <w:t>规定：“</w:t>
            </w:r>
            <w:r>
              <w:rPr>
                <w:rFonts w:hint="default" w:ascii="Times New Roman" w:hAnsi="Times New Roman" w:eastAsia="宋体" w:cs="Times New Roman"/>
                <w:color w:val="auto"/>
                <w:kern w:val="0"/>
                <w:sz w:val="22"/>
                <w:szCs w:val="22"/>
                <w:lang w:val="en-US" w:eastAsia="zh-CN" w:bidi="ar"/>
              </w:rPr>
              <w:t>道路货物运输经营者应当对从业人员进行经常性的安全、职业道德教育和业务知识、操作规程培训</w:t>
            </w:r>
            <w:r>
              <w:rPr>
                <w:rFonts w:hint="eastAsia" w:ascii="Times New Roman" w:hAnsi="Times New Roman" w:eastAsia="宋体" w:cs="Times New Roman"/>
                <w:color w:val="auto"/>
                <w:kern w:val="0"/>
                <w:sz w:val="22"/>
                <w:szCs w:val="22"/>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20</w:t>
            </w:r>
            <w:r>
              <w:rPr>
                <w:rFonts w:hint="eastAsia" w:ascii="Times New Roman" w:hAnsi="Times New Roman" w:eastAsia="宋体" w:cs="Times New Roman"/>
                <w:color w:val="FF0000"/>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4"/>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未制定安全教育培训制度，</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14"/>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未制定培训计划的，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培训内容及学时达不到相关要求的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3</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.未按照培训计划开展安全教育培训的，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8.2 资格培训</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2</w:t>
            </w:r>
            <w:r>
              <w:rPr>
                <w:rFonts w:hint="eastAsia" w:ascii="Times New Roman" w:hAnsi="Times New Roman" w:eastAsia="宋体" w:cs="Times New Roman"/>
                <w:color w:val="auto"/>
                <w:kern w:val="0"/>
                <w:sz w:val="22"/>
                <w:szCs w:val="22"/>
                <w:lang w:val="en-US" w:eastAsia="zh-CN" w:bidi="ar"/>
              </w:rPr>
              <w:t>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 xml:space="preserve"> </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企业主要负责人和管理人员应具备相应的安全生产知识和管理能力，并经主管的负有安全生产监督管理职责的部门考核合格</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《安全生产法》第二十七条规定，生产经营单位的主要负责人和安全生产管理人员必须具备与本单位所从事的生产经营活动相应的安全生产知识和管理能力。</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道路运输单位的主要负责人和安全生产管理人员，应当由主管的负有安全生产监督管理职责的部门对其安全生产知识和管理能力考核合格</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10★★★</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主要负责人和安全管理人员未取得安全能力考核合格资格证的，</w:t>
            </w:r>
            <w:r>
              <w:rPr>
                <w:rFonts w:hint="eastAsia" w:ascii="Times New Roman" w:hAnsi="Times New Roman" w:eastAsia="宋体" w:cs="Times New Roman"/>
                <w:color w:val="auto"/>
                <w:kern w:val="0"/>
                <w:sz w:val="22"/>
                <w:szCs w:val="22"/>
                <w:lang w:val="en-US" w:eastAsia="zh-CN" w:bidi="ar"/>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eastAsia" w:ascii="Times New Roman" w:hAnsi="Times New Roman" w:eastAsia="宋体" w:cs="Times New Roman"/>
                <w:color w:val="auto"/>
                <w:kern w:val="0"/>
                <w:sz w:val="22"/>
                <w:szCs w:val="22"/>
                <w:lang w:val="en-US" w:eastAsia="zh-CN" w:bidi="ar"/>
              </w:rPr>
              <w:t>总质量4.5吨以上车辆普通货物</w:t>
            </w:r>
            <w:r>
              <w:rPr>
                <w:rFonts w:hint="default" w:ascii="Times New Roman" w:hAnsi="Times New Roman" w:eastAsia="宋体" w:cs="Times New Roman"/>
                <w:color w:val="auto"/>
                <w:kern w:val="0"/>
                <w:sz w:val="22"/>
                <w:szCs w:val="22"/>
                <w:lang w:val="en-US" w:eastAsia="zh-CN" w:bidi="ar"/>
              </w:rPr>
              <w:t>驾驶人员应由相关管理部门对其知识和技能进行考核合格，并取得相应的从业资格证件</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《道路运输从业人员管理规定》（交通运输部令2022年第38号）第六条规定，国家对经营性道路客货运输驾驶员、道路</w:t>
            </w:r>
            <w:r>
              <w:rPr>
                <w:rFonts w:hint="eastAsia" w:ascii="Times New Roman" w:hAnsi="Times New Roman" w:eastAsia="宋体" w:cs="Times New Roman"/>
                <w:color w:val="auto"/>
                <w:kern w:val="0"/>
                <w:sz w:val="22"/>
                <w:szCs w:val="22"/>
                <w:lang w:val="en-US" w:eastAsia="zh-CN" w:bidi="ar"/>
              </w:rPr>
              <w:t>普通货物</w:t>
            </w:r>
            <w:r>
              <w:rPr>
                <w:rFonts w:hint="default" w:ascii="Times New Roman" w:hAnsi="Times New Roman" w:eastAsia="宋体" w:cs="Times New Roman"/>
                <w:color w:val="auto"/>
                <w:kern w:val="0"/>
                <w:sz w:val="22"/>
                <w:szCs w:val="22"/>
                <w:lang w:val="en-US" w:eastAsia="zh-CN" w:bidi="ar"/>
              </w:rPr>
              <w:t>运输从业人员实行从业资格考试制度。从业资格是对道路运输从业人员所从事的特定岗位职业素质的基本评价。</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驾驶员不能提供从业资格证，</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cyan"/>
              </w:rPr>
            </w:pPr>
            <w:r>
              <w:rPr>
                <w:rFonts w:hint="default" w:ascii="Times New Roman" w:hAnsi="Times New Roman" w:eastAsia="宋体" w:cs="Times New Roman"/>
                <w:color w:val="auto"/>
                <w:kern w:val="0"/>
                <w:sz w:val="22"/>
                <w:szCs w:val="22"/>
                <w:highlight w:val="none"/>
                <w:lang w:val="en-US" w:eastAsia="zh-CN" w:bidi="ar"/>
              </w:rPr>
              <w:t xml:space="preserve">8.3 </w:t>
            </w:r>
            <w:r>
              <w:rPr>
                <w:rFonts w:hint="eastAsia" w:ascii="Times New Roman" w:hAnsi="Times New Roman" w:eastAsia="宋体" w:cs="Times New Roman"/>
                <w:color w:val="auto"/>
                <w:kern w:val="0"/>
                <w:sz w:val="22"/>
                <w:szCs w:val="22"/>
                <w:highlight w:val="none"/>
                <w:lang w:val="en-US" w:eastAsia="zh-CN" w:bidi="ar"/>
              </w:rPr>
              <w:t>岗前</w:t>
            </w:r>
            <w:r>
              <w:rPr>
                <w:rFonts w:hint="default" w:ascii="Times New Roman" w:hAnsi="Times New Roman" w:eastAsia="宋体" w:cs="Times New Roman"/>
                <w:color w:val="auto"/>
                <w:kern w:val="0"/>
                <w:sz w:val="22"/>
                <w:szCs w:val="22"/>
                <w:highlight w:val="none"/>
                <w:lang w:val="en-US" w:eastAsia="zh-CN" w:bidi="ar"/>
              </w:rPr>
              <w:t>安全教育培训</w:t>
            </w:r>
            <w:r>
              <w:rPr>
                <w:rFonts w:hint="eastAsia" w:ascii="Times New Roman" w:hAnsi="Times New Roman" w:eastAsia="宋体" w:cs="Times New Roman"/>
                <w:color w:val="auto"/>
                <w:kern w:val="0"/>
                <w:sz w:val="22"/>
                <w:szCs w:val="22"/>
                <w:highlight w:val="none"/>
                <w:lang w:val="en-US" w:eastAsia="zh-CN" w:bidi="ar"/>
              </w:rPr>
              <w:t>（20）</w:t>
            </w:r>
            <w:r>
              <w:rPr>
                <w:rFonts w:hint="default" w:ascii="Times New Roman" w:hAnsi="Times New Roman" w:eastAsia="宋体" w:cs="Times New Roman"/>
                <w:color w:val="auto"/>
                <w:kern w:val="0"/>
                <w:sz w:val="22"/>
                <w:szCs w:val="22"/>
                <w:highlight w:val="none"/>
                <w:lang w:val="en-US" w:eastAsia="zh-CN" w:bidi="ar"/>
              </w:rPr>
              <w:t>分</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highlight w:val="none"/>
                <w:lang w:val="en-US" w:eastAsia="zh-CN" w:bidi="ar"/>
              </w:rPr>
              <w:t>企业应组织开展安全生产的法律、法规、规章制度和安全生产知识的宣传、教育</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default" w:ascii="Times New Roman" w:hAnsi="Times New Roman" w:eastAsia="宋体" w:cs="Times New Roman"/>
                <w:color w:val="auto"/>
                <w:kern w:val="0"/>
                <w:sz w:val="22"/>
                <w:szCs w:val="22"/>
                <w:highlight w:val="none"/>
                <w:lang w:val="en-US" w:eastAsia="zh-CN" w:bidi="ar"/>
              </w:rPr>
              <w:t>企业应将安全生产法律法规的培训学习要求，纳入到企业制定的安全学习培训制度中，将适用的安全生产法律法规、标准规范及其他要求及时传达给从业人员。企业应对新的重要的法律法规进行专门培训，并对学习情况进行考核</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highlight w:val="none"/>
                <w:lang w:val="en-US" w:eastAsia="zh-CN" w:bidi="ar-SA"/>
              </w:rPr>
            </w:pPr>
            <w:r>
              <w:rPr>
                <w:rFonts w:hint="eastAsia" w:ascii="Times New Roman" w:hAnsi="Times New Roman" w:eastAsia="宋体" w:cs="Times New Roman"/>
                <w:color w:val="FF0000"/>
                <w:kern w:val="0"/>
                <w:sz w:val="22"/>
                <w:szCs w:val="22"/>
                <w:highlight w:val="none"/>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2"/>
                <w:szCs w:val="22"/>
                <w:highlight w:val="none"/>
                <w:lang w:val="en-US" w:eastAsia="zh-CN" w:bidi="ar"/>
              </w:rPr>
              <w:t>无安全生产法律法规、标准及其他要求宣传、培训相关记录资料的（培训通知、培训签到表、培训记录表），</w:t>
            </w:r>
            <w:r>
              <w:rPr>
                <w:rFonts w:hint="eastAsia" w:ascii="Times New Roman" w:hAnsi="Times New Roman" w:eastAsia="宋体" w:cs="Times New Roman"/>
                <w:color w:val="auto"/>
                <w:kern w:val="0"/>
                <w:sz w:val="22"/>
                <w:szCs w:val="22"/>
                <w:highlight w:val="none"/>
                <w:lang w:val="en-US" w:eastAsia="zh-CN" w:bidi="ar"/>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企业应对从业人员进行安全生产教育和培训，使从业人员具备必要的安全生产知识，熟悉相关</w:t>
            </w:r>
            <w:r>
              <w:rPr>
                <w:rFonts w:hint="eastAsia" w:ascii="Times New Roman" w:hAnsi="Times New Roman" w:eastAsia="宋体" w:cs="Times New Roman"/>
                <w:color w:val="auto"/>
                <w:kern w:val="0"/>
                <w:sz w:val="22"/>
                <w:szCs w:val="22"/>
                <w:lang w:val="en-US" w:eastAsia="zh-CN" w:bidi="ar"/>
              </w:rPr>
              <w:t>普通货物</w:t>
            </w:r>
            <w:r>
              <w:rPr>
                <w:rFonts w:hint="default" w:ascii="Times New Roman" w:hAnsi="Times New Roman" w:eastAsia="宋体" w:cs="Times New Roman"/>
                <w:color w:val="auto"/>
                <w:kern w:val="0"/>
                <w:sz w:val="22"/>
                <w:szCs w:val="22"/>
                <w:lang w:val="en-US" w:eastAsia="zh-CN" w:bidi="ar"/>
              </w:rPr>
              <w:t>的特性及应急处置方法，熟悉有关的安全生产规章制度和安全操作规程，掌握本岗位的安全操作技能。未经安全生产教育和培训合格的从业人员，不得上岗作业</w:t>
            </w:r>
            <w:r>
              <w:rPr>
                <w:rFonts w:hint="eastAsia" w:ascii="Times New Roman" w:hAnsi="Times New Roman" w:eastAsia="宋体" w:cs="Times New Roman"/>
                <w:color w:val="auto"/>
                <w:kern w:val="0"/>
                <w:sz w:val="22"/>
                <w:szCs w:val="22"/>
                <w:lang w:val="en-US" w:eastAsia="zh-CN" w:bidi="ar"/>
              </w:rPr>
              <w:t>；岗前培训不得少于24学时。</w:t>
            </w:r>
          </w:p>
        </w:tc>
        <w:tc>
          <w:tcPr>
            <w:tcW w:w="3982" w:type="dxa"/>
            <w:tcBorders>
              <w:tl2br w:val="nil"/>
              <w:tr2bl w:val="nil"/>
            </w:tcBorders>
            <w:shd w:val="clear" w:color="auto" w:fill="auto"/>
            <w:tcMar>
              <w:top w:w="75" w:type="dxa"/>
              <w:left w:w="90" w:type="dxa"/>
              <w:bottom w:w="75" w:type="dxa"/>
              <w:right w:w="90" w:type="dxa"/>
            </w:tcMar>
            <w:vAlign w:val="center"/>
          </w:tcPr>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right="0"/>
              <w:textAlignment w:val="auto"/>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《安全生产法》</w:t>
            </w:r>
            <w:r>
              <w:rPr>
                <w:rFonts w:hint="default" w:ascii="Times New Roman" w:hAnsi="Times New Roman" w:eastAsia="宋体" w:cs="Times New Roman"/>
                <w:color w:val="auto"/>
                <w:kern w:val="0"/>
                <w:sz w:val="22"/>
                <w:szCs w:val="22"/>
                <w:lang w:val="en-US" w:eastAsia="zh-CN" w:bidi="ar"/>
              </w:rPr>
              <w:t>第二十八条</w:t>
            </w:r>
            <w:r>
              <w:rPr>
                <w:rFonts w:hint="eastAsia" w:ascii="Times New Roman" w:hAnsi="Times New Roman" w:eastAsia="宋体" w:cs="Times New Roman"/>
                <w:color w:val="auto"/>
                <w:kern w:val="0"/>
                <w:sz w:val="22"/>
                <w:szCs w:val="22"/>
                <w:lang w:val="en-US" w:eastAsia="zh-CN" w:bidi="ar"/>
              </w:rPr>
              <w:t>规定“</w:t>
            </w:r>
            <w:r>
              <w:rPr>
                <w:rFonts w:hint="default" w:ascii="Times New Roman" w:hAnsi="Times New Roman" w:eastAsia="宋体" w:cs="Times New Roman"/>
                <w:color w:val="auto"/>
                <w:kern w:val="0"/>
                <w:sz w:val="22"/>
                <w:szCs w:val="22"/>
                <w:lang w:val="en-US" w:eastAsia="zh-CN" w:bidi="ar"/>
              </w:rPr>
              <w:t>生产经营单位应当对从业人员进行安全生产教育和培训，保证从业人员具备必要的安全生产知识，熟悉有关的安全生产规章制度和安全操作规程，掌握本岗位的安全操作技能，了解事故应急处理措施，知悉自身在安全生产方面的权利和义务。未经安全生产教育和培训合格的从业人员，不得上岗作业。</w:t>
            </w:r>
            <w:r>
              <w:rPr>
                <w:rFonts w:hint="eastAsia" w:ascii="Times New Roman" w:hAnsi="Times New Roman" w:eastAsia="宋体" w:cs="Times New Roman"/>
                <w:color w:val="auto"/>
                <w:kern w:val="0"/>
                <w:sz w:val="22"/>
                <w:szCs w:val="22"/>
                <w:lang w:val="en-US" w:eastAsia="zh-CN" w:bidi="ar"/>
              </w:rPr>
              <w:t>”</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5"/>
              </w:numPr>
              <w:suppressLineNumbers w:val="0"/>
              <w:kinsoku/>
              <w:wordWrap/>
              <w:overflowPunct/>
              <w:topLinePunct w:val="0"/>
              <w:autoSpaceDE/>
              <w:autoSpaceDN/>
              <w:bidi w:val="0"/>
              <w:adjustRightInd/>
              <w:snapToGrid/>
              <w:spacing w:line="280" w:lineRule="exact"/>
              <w:jc w:val="left"/>
              <w:rPr>
                <w:rFonts w:hint="default"/>
                <w:color w:val="000000" w:themeColor="text1"/>
                <w:sz w:val="22"/>
                <w:szCs w:val="22"/>
                <w:lang w:eastAsia="zh-Hans"/>
                <w14:textFill>
                  <w14:solidFill>
                    <w14:schemeClr w14:val="tx1"/>
                  </w14:solidFill>
                </w14:textFill>
              </w:rPr>
            </w:pPr>
            <w:r>
              <w:rPr>
                <w:rFonts w:hint="eastAsia"/>
                <w:color w:val="000000" w:themeColor="text1"/>
                <w:sz w:val="22"/>
                <w:szCs w:val="22"/>
                <w:lang w:val="en-US" w:eastAsia="zh-Hans"/>
                <w14:textFill>
                  <w14:solidFill>
                    <w14:schemeClr w14:val="tx1"/>
                  </w14:solidFill>
                </w14:textFill>
              </w:rPr>
              <w:t>企业有</w:t>
            </w:r>
            <w:r>
              <w:rPr>
                <w:rFonts w:hint="default"/>
                <w:color w:val="000000" w:themeColor="text1"/>
                <w:sz w:val="22"/>
                <w:szCs w:val="22"/>
                <w:lang w:val="en-US" w:eastAsia="zh-CN"/>
                <w14:textFill>
                  <w14:solidFill>
                    <w14:schemeClr w14:val="tx1"/>
                  </w14:solidFill>
                </w14:textFill>
              </w:rPr>
              <w:t>未进行岗前安全培训教育，</w:t>
            </w:r>
            <w:r>
              <w:rPr>
                <w:rFonts w:hint="eastAsia"/>
                <w:color w:val="000000" w:themeColor="text1"/>
                <w:sz w:val="22"/>
                <w:szCs w:val="22"/>
                <w:lang w:val="en-US" w:eastAsia="zh-Hans"/>
                <w14:textFill>
                  <w14:solidFill>
                    <w14:schemeClr w14:val="tx1"/>
                  </w14:solidFill>
                </w14:textFill>
              </w:rPr>
              <w:t>直接上岗的人员</w:t>
            </w:r>
            <w:r>
              <w:rPr>
                <w:rFonts w:hint="default"/>
                <w:color w:val="000000" w:themeColor="text1"/>
                <w:sz w:val="22"/>
                <w:szCs w:val="22"/>
                <w:lang w:eastAsia="zh-Hans"/>
                <w14:textFill>
                  <w14:solidFill>
                    <w14:schemeClr w14:val="tx1"/>
                  </w14:solidFill>
                </w14:textFill>
              </w:rPr>
              <w:t>，不符合；</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heme="minorHAnsi" w:hAnsiTheme="minorHAnsi" w:eastAsiaTheme="minorEastAsia" w:cstheme="minorBidi"/>
                <w:color w:val="000000" w:themeColor="text1"/>
                <w:kern w:val="2"/>
                <w:sz w:val="22"/>
                <w:szCs w:val="22"/>
                <w:lang w:eastAsia="zh-Hans" w:bidi="ar-SA"/>
                <w14:textFill>
                  <w14:solidFill>
                    <w14:schemeClr w14:val="tx1"/>
                  </w14:solidFill>
                </w14:textFill>
              </w:rPr>
              <w:t>2.</w:t>
            </w:r>
            <w:r>
              <w:rPr>
                <w:rFonts w:hint="eastAsia" w:asciiTheme="minorHAnsi" w:hAnsiTheme="minorHAnsi" w:eastAsiaTheme="minorEastAsia" w:cstheme="minorBidi"/>
                <w:color w:val="000000" w:themeColor="text1"/>
                <w:kern w:val="2"/>
                <w:sz w:val="22"/>
                <w:szCs w:val="22"/>
                <w:lang w:val="en-US" w:eastAsia="zh-Hans" w:bidi="ar-SA"/>
                <w14:textFill>
                  <w14:solidFill>
                    <w14:schemeClr w14:val="tx1"/>
                  </w14:solidFill>
                </w14:textFill>
              </w:rPr>
              <w:t>企业岗前培训内容达不到本行业和本单位的相关要求的</w:t>
            </w:r>
            <w:r>
              <w:rPr>
                <w:rFonts w:hint="default" w:asciiTheme="minorHAnsi" w:hAnsiTheme="minorHAnsi" w:eastAsiaTheme="minorEastAsia" w:cstheme="minorBidi"/>
                <w:color w:val="000000" w:themeColor="text1"/>
                <w:kern w:val="2"/>
                <w:sz w:val="22"/>
                <w:szCs w:val="22"/>
                <w:lang w:eastAsia="zh-Hans" w:bidi="ar-SA"/>
                <w14:textFill>
                  <w14:solidFill>
                    <w14:schemeClr w14:val="tx1"/>
                  </w14:solidFill>
                </w14:textFill>
              </w:rPr>
              <w:t>，</w:t>
            </w:r>
            <w:r>
              <w:rPr>
                <w:rFonts w:hint="eastAsia" w:asciiTheme="minorHAnsi" w:hAnsiTheme="minorHAnsi" w:eastAsiaTheme="minorEastAsia" w:cstheme="minorBidi"/>
                <w:color w:val="000000" w:themeColor="text1"/>
                <w:kern w:val="2"/>
                <w:sz w:val="22"/>
                <w:szCs w:val="22"/>
                <w:lang w:val="en-US" w:eastAsia="zh-Hans" w:bidi="ar-SA"/>
                <w14:textFill>
                  <w14:solidFill>
                    <w14:schemeClr w14:val="tx1"/>
                  </w14:solidFill>
                </w14:textFill>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heme="minorHAnsi" w:hAnsiTheme="minorHAnsi" w:eastAsiaTheme="minorEastAsia" w:cstheme="minorBidi"/>
                <w:color w:val="000000" w:themeColor="text1"/>
                <w:kern w:val="2"/>
                <w:sz w:val="22"/>
                <w:szCs w:val="22"/>
                <w:lang w:eastAsia="zh-Hans" w:bidi="ar-SA"/>
                <w14:textFill>
                  <w14:solidFill>
                    <w14:schemeClr w14:val="tx1"/>
                  </w14:solidFill>
                </w14:textFill>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heme="minorHAnsi" w:hAnsiTheme="minorHAnsi" w:eastAsiaTheme="minorEastAsia" w:cstheme="minorBidi"/>
                <w:color w:val="000000" w:themeColor="text1"/>
                <w:kern w:val="2"/>
                <w:sz w:val="22"/>
                <w:szCs w:val="22"/>
                <w:lang w:eastAsia="zh-Hans" w:bidi="ar-SA"/>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8.4 规范档案</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企业应当建立安全生产教育和培训档案，如实记录安全生产教育和培训的时间、内容、参加人员以及考核结果等情况</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《安全生产法》第</w:t>
            </w:r>
            <w:r>
              <w:rPr>
                <w:rFonts w:hint="default" w:ascii="Times New Roman" w:hAnsi="Times New Roman" w:eastAsia="宋体" w:cs="Times New Roman"/>
                <w:color w:val="auto"/>
                <w:kern w:val="0"/>
                <w:sz w:val="22"/>
                <w:szCs w:val="22"/>
                <w:lang w:val="en-US" w:eastAsia="zh-CN" w:bidi="ar"/>
              </w:rPr>
              <w:t>二十八</w:t>
            </w:r>
            <w:r>
              <w:rPr>
                <w:rFonts w:hint="eastAsia" w:ascii="Times New Roman" w:hAnsi="Times New Roman" w:eastAsia="宋体" w:cs="Times New Roman"/>
                <w:color w:val="auto"/>
                <w:kern w:val="0"/>
                <w:sz w:val="22"/>
                <w:szCs w:val="22"/>
                <w:lang w:val="en-US" w:eastAsia="zh-CN" w:bidi="ar"/>
              </w:rPr>
              <w:t>条规定“生产经营单位应当建立安全生产教育和培训档案，如实记录安全生产教育和培训的时间、内容、参加人员以及考核结果等情况。”</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6"/>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无教育培训档案记录</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2.教育培训档案记录不真实、不准确的（培训的时间、内容、主讲老师、参加人员以及考核结果）</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九、</w:t>
            </w:r>
            <w:r>
              <w:rPr>
                <w:rFonts w:hint="default" w:ascii="Times New Roman" w:hAnsi="Times New Roman" w:eastAsia="宋体" w:cs="Times New Roman"/>
                <w:color w:val="auto"/>
                <w:kern w:val="0"/>
                <w:sz w:val="22"/>
                <w:szCs w:val="22"/>
                <w:lang w:val="en-US" w:eastAsia="zh-CN" w:bidi="ar"/>
              </w:rPr>
              <w:t xml:space="preserve">生产过程管理 </w:t>
            </w:r>
            <w:r>
              <w:rPr>
                <w:rFonts w:hint="eastAsia" w:ascii="Times New Roman" w:hAnsi="Times New Roman" w:eastAsia="宋体" w:cs="Times New Roman"/>
                <w:color w:val="auto"/>
                <w:kern w:val="0"/>
                <w:sz w:val="22"/>
                <w:szCs w:val="22"/>
                <w:lang w:val="en-US" w:eastAsia="zh-CN" w:bidi="ar"/>
              </w:rPr>
              <w:t>160</w:t>
            </w:r>
            <w:r>
              <w:rPr>
                <w:rFonts w:hint="default" w:ascii="Times New Roman" w:hAnsi="Times New Roman" w:eastAsia="宋体" w:cs="Times New Roman"/>
                <w:color w:val="auto"/>
                <w:kern w:val="0"/>
                <w:sz w:val="22"/>
                <w:szCs w:val="22"/>
                <w:lang w:val="en-US" w:eastAsia="zh-CN" w:bidi="ar"/>
              </w:rPr>
              <w:t>分</w:t>
            </w:r>
          </w:p>
        </w:tc>
        <w:tc>
          <w:tcPr>
            <w:tcW w:w="65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9.1 基本要求</w:t>
            </w:r>
            <w:r>
              <w:rPr>
                <w:rFonts w:hint="eastAsia" w:ascii="Times New Roman" w:hAnsi="Times New Roman" w:eastAsia="宋体" w:cs="Times New Roman"/>
                <w:color w:val="auto"/>
                <w:kern w:val="0"/>
                <w:sz w:val="22"/>
                <w:szCs w:val="22"/>
                <w:lang w:val="en-US" w:eastAsia="zh-CN" w:bidi="ar"/>
              </w:rPr>
              <w:t>（15</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strike w:val="0"/>
                <w:dstrike w:val="0"/>
                <w:color w:val="auto"/>
                <w:sz w:val="22"/>
                <w:szCs w:val="22"/>
                <w:lang w:val="en-US"/>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strike w:val="0"/>
                <w:dstrike w:val="0"/>
                <w:color w:val="auto"/>
                <w:kern w:val="0"/>
                <w:sz w:val="22"/>
                <w:szCs w:val="22"/>
                <w:lang w:val="en-US" w:eastAsia="zh-CN" w:bidi="ar"/>
              </w:rPr>
              <w:t>企业</w:t>
            </w:r>
            <w:r>
              <w:rPr>
                <w:rFonts w:hint="eastAsia" w:ascii="Times New Roman" w:hAnsi="Times New Roman" w:eastAsia="宋体" w:cs="Times New Roman"/>
                <w:strike w:val="0"/>
                <w:dstrike w:val="0"/>
                <w:color w:val="auto"/>
                <w:kern w:val="0"/>
                <w:sz w:val="22"/>
                <w:szCs w:val="22"/>
                <w:lang w:val="en-US" w:eastAsia="zh-CN" w:bidi="ar"/>
              </w:rPr>
              <w:t>严格执行操作规程和安全生产作业规定</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strike w:val="0"/>
                <w:dstrike w:val="0"/>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lang w:val="en-US" w:eastAsia="zh-CN" w:bidi="ar"/>
              </w:rPr>
              <w:t>企业应严格执行操作规程和安全生产作业规定.不得违章指挥、违章操作、违反劳动纪律.加强对生产现场监督检查.严厉查 处 上 述 “ 三 违”行为</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strike w:val="0"/>
                <w:dstrike w:val="0"/>
                <w:color w:val="auto"/>
                <w:kern w:val="2"/>
                <w:sz w:val="22"/>
                <w:szCs w:val="22"/>
                <w:lang w:val="en-US" w:eastAsia="zh-CN" w:bidi="ar-SA"/>
              </w:rPr>
            </w:pPr>
            <w:r>
              <w:rPr>
                <w:rFonts w:hint="default" w:ascii="Times New Roman" w:hAnsi="Times New Roman" w:eastAsia="宋体" w:cs="Times New Roman"/>
                <w:strike w:val="0"/>
                <w:dstrike w:val="0"/>
                <w:color w:val="auto"/>
                <w:kern w:val="0"/>
                <w:sz w:val="22"/>
                <w:szCs w:val="22"/>
                <w:lang w:val="en-US" w:eastAsia="zh-CN" w:bidi="ar"/>
              </w:rPr>
              <w:t>10</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strike w:val="0"/>
                <w:dstrike w:val="0"/>
                <w:color w:val="auto"/>
                <w:sz w:val="22"/>
                <w:szCs w:val="22"/>
                <w:lang w:val="en-US"/>
              </w:rPr>
            </w:pPr>
            <w:r>
              <w:rPr>
                <w:rFonts w:hint="eastAsia" w:ascii="Times New Roman" w:hAnsi="Times New Roman" w:eastAsia="宋体" w:cs="Times New Roman"/>
                <w:strike w:val="0"/>
                <w:dstrike w:val="0"/>
                <w:color w:val="auto"/>
                <w:kern w:val="0"/>
                <w:sz w:val="22"/>
                <w:szCs w:val="22"/>
                <w:lang w:val="en-US" w:eastAsia="zh-CN" w:bidi="ar"/>
              </w:rPr>
              <w:t>现场抽查</w:t>
            </w:r>
            <w:r>
              <w:rPr>
                <w:rFonts w:hint="default" w:ascii="Times New Roman" w:hAnsi="Times New Roman" w:eastAsia="宋体" w:cs="Times New Roman"/>
                <w:strike w:val="0"/>
                <w:dstrike w:val="0"/>
                <w:color w:val="auto"/>
                <w:kern w:val="0"/>
                <w:sz w:val="22"/>
                <w:szCs w:val="22"/>
                <w:lang w:val="en-US" w:eastAsia="zh-CN" w:bidi="ar"/>
              </w:rPr>
              <w:t>存在</w:t>
            </w:r>
            <w:r>
              <w:rPr>
                <w:rFonts w:hint="eastAsia" w:ascii="Times New Roman" w:hAnsi="Times New Roman" w:eastAsia="宋体" w:cs="Times New Roman"/>
                <w:strike w:val="0"/>
                <w:dstrike w:val="0"/>
                <w:color w:val="auto"/>
                <w:kern w:val="0"/>
                <w:sz w:val="22"/>
                <w:szCs w:val="22"/>
                <w:lang w:val="en-US" w:eastAsia="zh-CN" w:bidi="ar"/>
              </w:rPr>
              <w:t>违规行为</w:t>
            </w:r>
            <w:r>
              <w:rPr>
                <w:rFonts w:hint="default" w:ascii="Times New Roman" w:hAnsi="Times New Roman" w:eastAsia="宋体" w:cs="Times New Roman"/>
                <w:strike w:val="0"/>
                <w:dstrike w:val="0"/>
                <w:color w:val="auto"/>
                <w:kern w:val="0"/>
                <w:sz w:val="22"/>
                <w:szCs w:val="22"/>
                <w:lang w:val="en-US" w:eastAsia="zh-CN" w:bidi="ar"/>
              </w:rPr>
              <w:t>，</w:t>
            </w:r>
            <w:r>
              <w:rPr>
                <w:rFonts w:hint="eastAsia" w:ascii="Times New Roman" w:hAnsi="Times New Roman" w:eastAsia="宋体" w:cs="Times New Roman"/>
                <w:strike w:val="0"/>
                <w:dstrike w:val="0"/>
                <w:color w:val="auto"/>
                <w:kern w:val="0"/>
                <w:sz w:val="22"/>
                <w:szCs w:val="22"/>
                <w:lang w:val="en-US" w:eastAsia="zh-CN" w:bidi="ar"/>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strike w:val="0"/>
                <w:dstrike w:val="0"/>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strike w:val="0"/>
                <w:dstrike w:val="0"/>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企业应落实安全生产值班制度，重要时期实行领导到岗带班</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Arial" w:hAnsi="Arial" w:eastAsia="宋体" w:cs="Arial"/>
                <w:i w:val="0"/>
                <w:iCs w:val="0"/>
                <w:caps w:val="0"/>
                <w:color w:val="auto"/>
                <w:spacing w:val="0"/>
                <w:kern w:val="0"/>
                <w:sz w:val="22"/>
                <w:szCs w:val="22"/>
                <w:shd w:val="clear" w:fill="FFFFFF"/>
                <w:lang w:val="en-US" w:eastAsia="zh-CN" w:bidi="ar"/>
              </w:rPr>
              <w:t>企业主要负责人、领导班子成员和生产经营管理人员要认真执行现场带班的规定，认真制订本企业领导成员带班制度，</w:t>
            </w:r>
            <w:r>
              <w:rPr>
                <w:rFonts w:hint="default" w:ascii="Arial" w:hAnsi="Arial" w:eastAsia="宋体" w:cs="Arial"/>
                <w:i w:val="0"/>
                <w:iCs w:val="0"/>
                <w:caps w:val="0"/>
                <w:color w:val="auto"/>
                <w:spacing w:val="0"/>
                <w:kern w:val="0"/>
                <w:sz w:val="22"/>
                <w:szCs w:val="22"/>
                <w:shd w:val="clear" w:fill="FFFFFF"/>
                <w:lang w:val="en-US" w:eastAsia="zh-CN" w:bidi="ar"/>
              </w:rPr>
              <w:t>重要时期实行领导到岗带班</w:t>
            </w:r>
            <w:r>
              <w:rPr>
                <w:rFonts w:hint="eastAsia" w:ascii="Arial" w:hAnsi="Arial" w:eastAsia="宋体" w:cs="Arial"/>
                <w:i w:val="0"/>
                <w:iCs w:val="0"/>
                <w:caps w:val="0"/>
                <w:color w:val="auto"/>
                <w:spacing w:val="0"/>
                <w:kern w:val="0"/>
                <w:sz w:val="22"/>
                <w:szCs w:val="22"/>
                <w:shd w:val="clear" w:fill="FFFFFF"/>
                <w:lang w:val="en-US" w:eastAsia="zh-CN" w:bidi="ar"/>
              </w:rPr>
              <w:t>，及时发现和解决问题，并据实做好交接</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FF0000"/>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1.无企业值班制度的，</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；2.无安全生产值班计划的，</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9.2 营运管理</w:t>
            </w:r>
            <w:r>
              <w:rPr>
                <w:rFonts w:hint="eastAsia" w:ascii="Times New Roman" w:hAnsi="Times New Roman" w:eastAsia="宋体" w:cs="Times New Roman"/>
                <w:color w:val="auto"/>
                <w:kern w:val="0"/>
                <w:sz w:val="22"/>
                <w:szCs w:val="22"/>
                <w:lang w:val="en-US" w:eastAsia="zh-CN" w:bidi="ar"/>
              </w:rPr>
              <w:t>（30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 xml:space="preserve"> </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企业严格审核驾驶员的驾驶证件</w:t>
            </w:r>
            <w:r>
              <w:rPr>
                <w:rFonts w:hint="default"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从业资格证和驾驶经历</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《道路运输从业人员管理规定》</w:t>
            </w:r>
          </w:p>
          <w:p>
            <w:pPr>
              <w:pStyle w:val="10"/>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80" w:lineRule="exact"/>
              <w:ind w:right="0"/>
              <w:textAlignment w:val="auto"/>
              <w:rPr>
                <w:rFonts w:hint="eastAsia" w:ascii="Arial" w:hAnsi="Arial" w:eastAsia="宋体" w:cs="Arial"/>
                <w:i w:val="0"/>
                <w:iCs w:val="0"/>
                <w:caps w:val="0"/>
                <w:color w:val="auto"/>
                <w:spacing w:val="0"/>
                <w:kern w:val="0"/>
                <w:sz w:val="22"/>
                <w:szCs w:val="22"/>
                <w:shd w:val="clear" w:fill="FFFFFF"/>
                <w:lang w:val="en-US" w:eastAsia="zh-CN" w:bidi="ar"/>
              </w:rPr>
            </w:pPr>
            <w:r>
              <w:rPr>
                <w:rFonts w:hint="eastAsia" w:ascii="Arial" w:hAnsi="Arial" w:eastAsia="宋体" w:cs="Arial"/>
                <w:i w:val="0"/>
                <w:iCs w:val="0"/>
                <w:caps w:val="0"/>
                <w:color w:val="auto"/>
                <w:spacing w:val="0"/>
                <w:kern w:val="0"/>
                <w:sz w:val="22"/>
                <w:szCs w:val="22"/>
                <w:shd w:val="clear" w:fill="FFFFFF"/>
                <w:lang w:val="en-US" w:eastAsia="zh-CN" w:bidi="ar"/>
              </w:rPr>
              <w:t>第十条　经营性道路货物运输驾驶员应当符合下列条件：</w:t>
            </w:r>
          </w:p>
          <w:p>
            <w:pPr>
              <w:pStyle w:val="10"/>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80" w:lineRule="exact"/>
              <w:ind w:right="0"/>
              <w:textAlignment w:val="auto"/>
              <w:rPr>
                <w:rFonts w:hint="eastAsia" w:ascii="Arial" w:hAnsi="Arial" w:eastAsia="宋体" w:cs="Arial"/>
                <w:i w:val="0"/>
                <w:iCs w:val="0"/>
                <w:caps w:val="0"/>
                <w:color w:val="auto"/>
                <w:spacing w:val="0"/>
                <w:kern w:val="0"/>
                <w:sz w:val="22"/>
                <w:szCs w:val="22"/>
                <w:shd w:val="clear" w:fill="FFFFFF"/>
                <w:lang w:val="en-US" w:eastAsia="zh-CN" w:bidi="ar"/>
              </w:rPr>
            </w:pPr>
            <w:r>
              <w:rPr>
                <w:rFonts w:hint="eastAsia" w:ascii="Arial" w:hAnsi="Arial" w:eastAsia="宋体" w:cs="Arial"/>
                <w:i w:val="0"/>
                <w:iCs w:val="0"/>
                <w:caps w:val="0"/>
                <w:color w:val="auto"/>
                <w:spacing w:val="0"/>
                <w:kern w:val="0"/>
                <w:sz w:val="22"/>
                <w:szCs w:val="22"/>
                <w:shd w:val="clear" w:fill="FFFFFF"/>
                <w:lang w:val="en-US" w:eastAsia="zh-CN" w:bidi="ar"/>
              </w:rPr>
              <w:t>（一）取得相应的机动车驾驶证；</w:t>
            </w:r>
          </w:p>
          <w:p>
            <w:pPr>
              <w:pStyle w:val="10"/>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80" w:lineRule="exact"/>
              <w:ind w:right="0"/>
              <w:textAlignment w:val="auto"/>
              <w:rPr>
                <w:rFonts w:hint="eastAsia" w:ascii="Arial" w:hAnsi="Arial" w:eastAsia="宋体" w:cs="Arial"/>
                <w:i w:val="0"/>
                <w:iCs w:val="0"/>
                <w:caps w:val="0"/>
                <w:color w:val="auto"/>
                <w:spacing w:val="0"/>
                <w:kern w:val="0"/>
                <w:sz w:val="22"/>
                <w:szCs w:val="22"/>
                <w:shd w:val="clear" w:fill="FFFFFF"/>
                <w:lang w:val="en-US" w:eastAsia="zh-CN" w:bidi="ar"/>
              </w:rPr>
            </w:pPr>
            <w:r>
              <w:rPr>
                <w:rFonts w:hint="eastAsia" w:ascii="Arial" w:hAnsi="Arial" w:eastAsia="宋体" w:cs="Arial"/>
                <w:i w:val="0"/>
                <w:iCs w:val="0"/>
                <w:caps w:val="0"/>
                <w:color w:val="auto"/>
                <w:spacing w:val="0"/>
                <w:kern w:val="0"/>
                <w:sz w:val="22"/>
                <w:szCs w:val="22"/>
                <w:shd w:val="clear" w:fill="FFFFFF"/>
                <w:lang w:val="en-US" w:eastAsia="zh-CN" w:bidi="ar"/>
              </w:rPr>
              <w:t>（二）年龄不超过60周岁；</w:t>
            </w:r>
          </w:p>
          <w:p>
            <w:pPr>
              <w:pStyle w:val="10"/>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80" w:lineRule="exact"/>
              <w:ind w:right="0"/>
              <w:textAlignment w:val="auto"/>
              <w:rPr>
                <w:rFonts w:hint="eastAsia" w:ascii="Arial" w:hAnsi="Arial" w:eastAsia="宋体" w:cs="Arial"/>
                <w:i w:val="0"/>
                <w:iCs w:val="0"/>
                <w:caps w:val="0"/>
                <w:color w:val="auto"/>
                <w:spacing w:val="0"/>
                <w:kern w:val="0"/>
                <w:sz w:val="22"/>
                <w:szCs w:val="22"/>
                <w:shd w:val="clear" w:fill="FFFFFF"/>
                <w:lang w:val="en-US" w:eastAsia="zh-CN" w:bidi="ar"/>
              </w:rPr>
            </w:pPr>
            <w:r>
              <w:rPr>
                <w:rFonts w:hint="eastAsia" w:ascii="Arial" w:hAnsi="Arial" w:eastAsia="宋体" w:cs="Arial"/>
                <w:i w:val="0"/>
                <w:iCs w:val="0"/>
                <w:caps w:val="0"/>
                <w:color w:val="auto"/>
                <w:spacing w:val="0"/>
                <w:kern w:val="0"/>
                <w:sz w:val="22"/>
                <w:szCs w:val="22"/>
                <w:shd w:val="clear" w:fill="FFFFFF"/>
                <w:lang w:val="en-US" w:eastAsia="zh-CN" w:bidi="ar"/>
              </w:rPr>
              <w:t>（三）掌握相关道路货物运输法规、机动车维修和货物装载保管基本知识；</w:t>
            </w:r>
          </w:p>
          <w:p>
            <w:pPr>
              <w:pStyle w:val="10"/>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80" w:lineRule="exact"/>
              <w:ind w:right="0"/>
              <w:textAlignment w:val="auto"/>
              <w:rPr>
                <w:rFonts w:hint="eastAsia" w:ascii="微软雅黑" w:hAnsi="微软雅黑" w:eastAsia="微软雅黑" w:cs="微软雅黑"/>
                <w:i w:val="0"/>
                <w:iCs w:val="0"/>
                <w:caps w:val="0"/>
                <w:color w:val="444444"/>
                <w:spacing w:val="0"/>
                <w:sz w:val="19"/>
                <w:szCs w:val="19"/>
              </w:rPr>
            </w:pPr>
            <w:r>
              <w:rPr>
                <w:rFonts w:hint="eastAsia" w:ascii="Arial" w:hAnsi="Arial" w:eastAsia="宋体" w:cs="Arial"/>
                <w:i w:val="0"/>
                <w:iCs w:val="0"/>
                <w:caps w:val="0"/>
                <w:color w:val="auto"/>
                <w:spacing w:val="0"/>
                <w:kern w:val="0"/>
                <w:sz w:val="22"/>
                <w:szCs w:val="22"/>
                <w:shd w:val="clear" w:fill="FFFFFF"/>
                <w:lang w:val="en-US" w:eastAsia="zh-CN" w:bidi="ar"/>
              </w:rPr>
              <w:t>（四）经考试合格，取得相应的从业资格证件</w:t>
            </w:r>
            <w:r>
              <w:rPr>
                <w:rFonts w:hint="eastAsia" w:ascii="微软雅黑" w:hAnsi="微软雅黑" w:eastAsia="微软雅黑" w:cs="微软雅黑"/>
                <w:i w:val="0"/>
                <w:iCs w:val="0"/>
                <w:caps w:val="0"/>
                <w:color w:val="444444"/>
                <w:spacing w:val="0"/>
                <w:sz w:val="19"/>
                <w:szCs w:val="19"/>
                <w:shd w:val="clear" w:fill="FFFFFF"/>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聘用的驾驶员应符合</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相应</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条件</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企业应当建立驾驶人员安全行车档案，实行一人一档</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企业应当建立驾驶人员安全行车档案，实行一人一档</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5</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7"/>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未建立驾驶员行车安全档案的，</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17"/>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档案记录内容不齐全的，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不符合</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17"/>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驾驶员安全档案未实行一人一档的，</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r>
              <w:rPr>
                <w:rFonts w:hint="eastAsia" w:ascii="Times New Roman" w:hAnsi="Times New Roman" w:eastAsia="宋体" w:cs="Times New Roman"/>
                <w:color w:val="000000" w:themeColor="text1"/>
                <w:kern w:val="0"/>
                <w:sz w:val="22"/>
                <w:szCs w:val="22"/>
                <w:lang w:eastAsia="zh-CN" w:bidi="ar"/>
                <w14:textFill>
                  <w14:solidFill>
                    <w14:schemeClr w14:val="tx1"/>
                  </w14:solidFill>
                </w14:textFill>
              </w:rPr>
              <w:t>。</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2"/>
                <w:szCs w:val="22"/>
                <w:highlight w:val="none"/>
                <w:lang w:val="en-US" w:eastAsia="zh-CN" w:bidi="ar"/>
              </w:rPr>
              <w:t xml:space="preserve">9.3 运输 </w:t>
            </w:r>
            <w:r>
              <w:rPr>
                <w:rFonts w:hint="eastAsia" w:ascii="Times New Roman" w:hAnsi="Times New Roman" w:eastAsia="宋体" w:cs="Times New Roman"/>
                <w:color w:val="auto"/>
                <w:kern w:val="0"/>
                <w:sz w:val="22"/>
                <w:szCs w:val="22"/>
                <w:highlight w:val="none"/>
                <w:lang w:val="en-US" w:eastAsia="zh-CN" w:bidi="ar"/>
              </w:rPr>
              <w:t>（85</w:t>
            </w:r>
            <w:r>
              <w:rPr>
                <w:rFonts w:hint="default" w:ascii="Times New Roman" w:hAnsi="Times New Roman" w:eastAsia="宋体" w:cs="Times New Roman"/>
                <w:color w:val="auto"/>
                <w:kern w:val="0"/>
                <w:sz w:val="22"/>
                <w:szCs w:val="22"/>
                <w:highlight w:val="none"/>
                <w:lang w:val="en-US" w:eastAsia="zh-CN" w:bidi="ar"/>
              </w:rPr>
              <w:t>分</w:t>
            </w:r>
            <w:r>
              <w:rPr>
                <w:rFonts w:hint="eastAsia" w:ascii="Times New Roman" w:hAnsi="Times New Roman" w:eastAsia="宋体" w:cs="Times New Roman"/>
                <w:color w:val="auto"/>
                <w:kern w:val="0"/>
                <w:sz w:val="22"/>
                <w:szCs w:val="22"/>
                <w:highlight w:val="none"/>
                <w:lang w:val="en-US" w:eastAsia="zh-CN" w:bidi="ar"/>
              </w:rPr>
              <w:t>）</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w:t>
            </w:r>
            <w:r>
              <w:rPr>
                <w:rFonts w:hint="eastAsia" w:ascii="Times New Roman" w:hAnsi="Times New Roman" w:eastAsia="宋体" w:cs="Times New Roman"/>
                <w:color w:val="auto"/>
                <w:kern w:val="0"/>
                <w:sz w:val="22"/>
                <w:szCs w:val="22"/>
                <w:lang w:val="en-US" w:eastAsia="zh-CN" w:bidi="ar"/>
              </w:rPr>
              <w:t>普通货物</w:t>
            </w:r>
            <w:r>
              <w:rPr>
                <w:rFonts w:hint="default" w:ascii="Times New Roman" w:hAnsi="Times New Roman" w:eastAsia="宋体" w:cs="Times New Roman"/>
                <w:color w:val="auto"/>
                <w:kern w:val="0"/>
                <w:sz w:val="22"/>
                <w:szCs w:val="22"/>
                <w:lang w:val="en-US" w:eastAsia="zh-CN" w:bidi="ar"/>
              </w:rPr>
              <w:t>运输车辆技术等级应当按《</w:t>
            </w:r>
            <w:r>
              <w:rPr>
                <w:rFonts w:hint="eastAsia" w:ascii="Times New Roman" w:hAnsi="Times New Roman" w:eastAsia="宋体" w:cs="Times New Roman"/>
                <w:color w:val="auto"/>
                <w:kern w:val="0"/>
                <w:sz w:val="22"/>
                <w:szCs w:val="22"/>
                <w:lang w:val="en-US" w:eastAsia="zh-CN" w:bidi="ar"/>
              </w:rPr>
              <w:t>机动车安全技术检验项目和方法</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GB 38900-2020</w:t>
            </w:r>
            <w:r>
              <w:rPr>
                <w:rFonts w:hint="default" w:ascii="Times New Roman" w:hAnsi="Times New Roman" w:eastAsia="宋体" w:cs="Times New Roman"/>
                <w:color w:val="auto"/>
                <w:kern w:val="0"/>
                <w:sz w:val="22"/>
                <w:szCs w:val="22"/>
                <w:lang w:val="en-US" w:eastAsia="zh-CN" w:bidi="ar"/>
              </w:rPr>
              <w:t>的要求</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GB 38900-2020 机动车安全技术检验项目和方法</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1.无车辆综合性能检测报告或技术等级评定报告，</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；2.车辆技术等级达不到</w:t>
            </w:r>
            <w:r>
              <w:rPr>
                <w:rFonts w:hint="eastAsia" w:ascii="Times New Roman" w:hAnsi="Times New Roman" w:eastAsia="宋体" w:cs="Times New Roman"/>
                <w:color w:val="auto"/>
                <w:kern w:val="0"/>
                <w:sz w:val="22"/>
                <w:szCs w:val="22"/>
                <w:lang w:val="en-US" w:eastAsia="zh-CN" w:bidi="ar"/>
              </w:rPr>
              <w:t>要求</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sz w:val="22"/>
                <w:szCs w:val="22"/>
                <w14:textFill>
                  <w14:solidFill>
                    <w14:schemeClr w14:val="tx1"/>
                  </w14:solidFill>
                </w14:textFill>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企业应设置相应的部门负责车辆技术管理工作，并按要求配备车辆技术管理人员</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《道路运输车辆技术管理规定》第十一条规定“鼓励道路运输经营者设置相应的部门负责车辆技术管理工作，并根据车辆数量和经营类别配备车辆技术管理人员，对车辆实施有效的技术管理”</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strike w:val="0"/>
                <w:dstrike w:val="0"/>
                <w:color w:val="auto"/>
                <w:kern w:val="0"/>
                <w:sz w:val="22"/>
                <w:szCs w:val="22"/>
                <w:highlight w:val="none"/>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1.</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无车辆管理人员任职文件</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2.为未设置车辆管理部门或机构，</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3.车辆技术管理人员不了解岗位职责及车辆技术状况，</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920" w:hRule="atLeast"/>
        </w:trPr>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sz w:val="22"/>
                <w:szCs w:val="22"/>
                <w14:textFill>
                  <w14:solidFill>
                    <w14:schemeClr w14:val="tx1"/>
                  </w14:solidFill>
                </w14:textFill>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企业应当建立车辆技术档案，实行一车一档。档案内容应当主要包括:车辆基本信息，车辆技术等级评定、客车类型等级评定或者年度类型等级评定复核、车辆维护和修理(含《机动车维修竣工出厂合格证》)、车辆主要零部件更换、车辆变更、行驶里程、对车辆造成损伤的交通事故等记录</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8"/>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《道路运输车辆技术管理规定》</w:t>
            </w:r>
            <w:r>
              <w:rPr>
                <w:rFonts w:hint="default" w:ascii="Times New Roman" w:hAnsi="Times New Roman" w:eastAsia="宋体" w:cs="Times New Roman"/>
                <w:color w:val="auto"/>
                <w:kern w:val="0"/>
                <w:sz w:val="22"/>
                <w:szCs w:val="22"/>
                <w:lang w:val="en-US" w:eastAsia="zh-CN" w:bidi="ar"/>
              </w:rPr>
              <w:t>第十四条　道路运输经营者应当建立车辆技术档案制度，实行一车一档。档案内容应当主要包括：车辆基本信息，车辆技术等级评定、</w:t>
            </w:r>
            <w:r>
              <w:rPr>
                <w:rFonts w:hint="default" w:ascii="Times New Roman" w:hAnsi="Times New Roman" w:eastAsia="宋体" w:cs="Times New Roman"/>
                <w:color w:val="auto"/>
                <w:kern w:val="0"/>
                <w:sz w:val="22"/>
                <w:szCs w:val="22"/>
                <w:highlight w:val="none"/>
                <w:lang w:val="en-US" w:eastAsia="zh-CN" w:bidi="ar"/>
              </w:rPr>
              <w:t>客车类型</w:t>
            </w:r>
            <w:r>
              <w:rPr>
                <w:rFonts w:hint="default" w:ascii="Times New Roman" w:hAnsi="Times New Roman" w:eastAsia="宋体" w:cs="Times New Roman"/>
                <w:color w:val="auto"/>
                <w:kern w:val="0"/>
                <w:sz w:val="22"/>
                <w:szCs w:val="22"/>
                <w:lang w:val="en-US" w:eastAsia="zh-CN" w:bidi="ar"/>
              </w:rPr>
              <w:t>等级评定或者年度类型等级评定复核、车辆维护和修理（含《机动车维修竣工出厂合格证》）、车辆主要零部件更换、车辆变更、行驶里程、对车辆造成损伤的交通事故等记录。档案内容应当准确、详实</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15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highlight w:val="none"/>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无车辆技术档案</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2.车辆技术档案未实现一车一档，</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3.车辆技术档案内容不符合要求的，</w:t>
            </w:r>
            <w:r>
              <w:rPr>
                <w:rFonts w:hint="eastAsia" w:ascii="Times New Roman" w:hAnsi="Times New Roman" w:eastAsia="宋体" w:cs="Times New Roman"/>
                <w:color w:val="auto"/>
                <w:kern w:val="0"/>
                <w:sz w:val="22"/>
                <w:szCs w:val="22"/>
                <w:lang w:val="en-US" w:eastAsia="zh-CN" w:bidi="ar"/>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4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④</w:t>
            </w:r>
            <w:r>
              <w:rPr>
                <w:rFonts w:hint="default" w:ascii="Times New Roman" w:hAnsi="Times New Roman" w:eastAsia="宋体" w:cs="Times New Roman"/>
                <w:color w:val="auto"/>
                <w:kern w:val="0"/>
                <w:sz w:val="22"/>
                <w:szCs w:val="22"/>
                <w:lang w:val="en-US" w:eastAsia="zh-CN" w:bidi="ar"/>
              </w:rPr>
              <w:fldChar w:fldCharType="end"/>
            </w:r>
            <w:r>
              <w:rPr>
                <w:rFonts w:hint="eastAsia" w:ascii="Times New Roman" w:hAnsi="Times New Roman" w:eastAsia="宋体" w:cs="Times New Roman"/>
                <w:color w:val="auto"/>
                <w:kern w:val="0"/>
                <w:sz w:val="22"/>
                <w:szCs w:val="22"/>
                <w:highlight w:val="none"/>
                <w:lang w:val="en-US" w:eastAsia="zh-CN" w:bidi="ar"/>
              </w:rPr>
              <w:t>企业运输货物应符合车辆核定范围和要求.不得超限、超载运输.</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所称“超载”是指违反有关规定，超过核定的载重量进行运输。所称“超限”是指装载货物违反规定的货物体积要求。运输车辆超限、超载是造成道路交通事故的重要原因，因此严格按核定载荷范围运输可以降低安全事故的发生保护人民生命财产安全。货物运输企业应按照《道路货物运输及站场管理规定》规定，运输货物做到符合货运车辆核定的载质量，载物的长、宽、高不违反装载要求。</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highlight w:val="none"/>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sz w:val="22"/>
                <w:szCs w:val="22"/>
                <w:highlight w:val="none"/>
                <w:lang w:val="en-US" w:eastAsia="zh-CN"/>
              </w:rPr>
            </w:pPr>
            <w:r>
              <w:rPr>
                <w:rFonts w:hint="eastAsia" w:ascii="Times New Roman" w:hAnsi="Times New Roman" w:eastAsia="宋体" w:cs="Times New Roman"/>
                <w:color w:val="auto"/>
                <w:kern w:val="0"/>
                <w:sz w:val="22"/>
                <w:szCs w:val="22"/>
                <w:highlight w:val="none"/>
                <w:lang w:val="en-US" w:eastAsia="zh-CN" w:bidi="ar"/>
              </w:rPr>
              <w:t>车辆应严格按核定载荷范围内运行.无违反规定超限、超载运输，考评前一年内，一辆扣5分</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highlight w:val="none"/>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lang w:val="en-US"/>
              </w:rPr>
            </w:pPr>
            <w:r>
              <w:rPr>
                <w:rFonts w:hint="eastAsia" w:ascii="Times New Roman" w:hAnsi="Times New Roman" w:eastAsia="宋体" w:cs="Times New Roman"/>
                <w:color w:val="auto"/>
                <w:kern w:val="0"/>
                <w:sz w:val="22"/>
                <w:szCs w:val="22"/>
                <w:lang w:val="en-US" w:eastAsia="zh-CN" w:bidi="ar"/>
              </w:rPr>
              <w:fldChar w:fldCharType="begin"/>
            </w:r>
            <w:r>
              <w:rPr>
                <w:rFonts w:hint="eastAsia" w:ascii="Times New Roman" w:hAnsi="Times New Roman" w:eastAsia="宋体" w:cs="Times New Roman"/>
                <w:color w:val="auto"/>
                <w:kern w:val="0"/>
                <w:sz w:val="22"/>
                <w:szCs w:val="22"/>
                <w:lang w:val="en-US" w:eastAsia="zh-CN" w:bidi="ar"/>
              </w:rPr>
              <w:instrText xml:space="preserve"> = 5 \* GB3 \* MERGEFORMAT </w:instrText>
            </w:r>
            <w:r>
              <w:rPr>
                <w:rFonts w:hint="eastAsia"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⑤</w:t>
            </w:r>
            <w:r>
              <w:rPr>
                <w:rFonts w:hint="eastAsia"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highlight w:val="none"/>
                <w:lang w:val="en-US" w:eastAsia="zh-CN" w:bidi="ar"/>
              </w:rPr>
              <w:t>驾驶人员应当做好出车前、行车中及收车后的车辆检查工作</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default" w:ascii="Times New Roman" w:hAnsi="Times New Roman" w:eastAsia="宋体" w:cs="Times New Roman"/>
                <w:color w:val="auto"/>
                <w:kern w:val="0"/>
                <w:sz w:val="22"/>
                <w:szCs w:val="22"/>
                <w:highlight w:val="none"/>
                <w:lang w:val="en-US" w:eastAsia="zh-CN" w:bidi="ar"/>
              </w:rPr>
              <w:t>驾驶人员应当做好出车前、行车中及收车后的车辆检查工作，发现故障及隐患，及时排除，</w:t>
            </w:r>
            <w:r>
              <w:rPr>
                <w:rFonts w:hint="eastAsia" w:ascii="Times New Roman" w:hAnsi="Times New Roman" w:eastAsia="宋体" w:cs="Times New Roman"/>
                <w:color w:val="auto"/>
                <w:kern w:val="0"/>
                <w:sz w:val="22"/>
                <w:szCs w:val="22"/>
                <w:highlight w:val="none"/>
                <w:lang w:val="en-US" w:eastAsia="zh-CN" w:bidi="ar"/>
              </w:rPr>
              <w:t>填写检查记录</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strike w:val="0"/>
                <w:dstrike w:val="0"/>
                <w:color w:val="auto"/>
                <w:kern w:val="0"/>
                <w:sz w:val="22"/>
                <w:szCs w:val="22"/>
                <w:highlight w:val="none"/>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lang w:val="en-US" w:eastAsia="zh-CN"/>
              </w:rPr>
            </w:pPr>
            <w:r>
              <w:rPr>
                <w:rFonts w:hint="eastAsia" w:ascii="Times New Roman" w:hAnsi="Times New Roman" w:eastAsia="宋体" w:cs="Times New Roman"/>
                <w:color w:val="auto"/>
                <w:sz w:val="22"/>
                <w:szCs w:val="22"/>
                <w:highlight w:val="none"/>
                <w:lang w:val="en-US" w:eastAsia="zh-CN"/>
              </w:rPr>
              <w:t>未填写检查记录，不符合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sz w:val="22"/>
                <w:szCs w:val="22"/>
                <w:highlight w:val="none"/>
                <w:lang w:val="en-US" w:eastAsia="zh-CN"/>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sz w:val="22"/>
                <w:szCs w:val="22"/>
                <w:highlight w:val="none"/>
                <w:lang w:val="en-US" w:eastAsia="zh-CN"/>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highlight w:val="none"/>
                <w:lang w:val="en-US" w:eastAsia="zh-CN" w:bidi="ar"/>
              </w:rPr>
              <w:t>9.</w:t>
            </w:r>
            <w:r>
              <w:rPr>
                <w:rFonts w:hint="eastAsia" w:ascii="Times New Roman" w:hAnsi="Times New Roman" w:eastAsia="宋体" w:cs="Times New Roman"/>
                <w:color w:val="auto"/>
                <w:kern w:val="0"/>
                <w:sz w:val="22"/>
                <w:szCs w:val="22"/>
                <w:highlight w:val="none"/>
                <w:lang w:val="en-US" w:eastAsia="zh-CN" w:bidi="ar"/>
              </w:rPr>
              <w:t>4</w:t>
            </w:r>
            <w:r>
              <w:rPr>
                <w:rFonts w:hint="default" w:ascii="Times New Roman" w:hAnsi="Times New Roman" w:eastAsia="宋体" w:cs="Times New Roman"/>
                <w:color w:val="auto"/>
                <w:kern w:val="0"/>
                <w:sz w:val="22"/>
                <w:szCs w:val="22"/>
                <w:highlight w:val="none"/>
                <w:lang w:val="en-US" w:eastAsia="zh-CN" w:bidi="ar"/>
              </w:rPr>
              <w:t xml:space="preserve"> 消防管理</w:t>
            </w:r>
            <w:r>
              <w:rPr>
                <w:rFonts w:hint="eastAsia" w:ascii="Times New Roman" w:hAnsi="Times New Roman" w:eastAsia="宋体" w:cs="Times New Roman"/>
                <w:color w:val="auto"/>
                <w:kern w:val="0"/>
                <w:sz w:val="22"/>
                <w:szCs w:val="22"/>
                <w:highlight w:val="none"/>
                <w:lang w:val="en-US" w:eastAsia="zh-CN" w:bidi="ar"/>
              </w:rPr>
              <w:t>（30</w:t>
            </w:r>
            <w:r>
              <w:rPr>
                <w:rFonts w:hint="default" w:ascii="Times New Roman" w:hAnsi="Times New Roman" w:eastAsia="宋体" w:cs="Times New Roman"/>
                <w:color w:val="auto"/>
                <w:kern w:val="0"/>
                <w:sz w:val="22"/>
                <w:szCs w:val="22"/>
                <w:highlight w:val="none"/>
                <w:lang w:val="en-US" w:eastAsia="zh-CN" w:bidi="ar"/>
              </w:rPr>
              <w:t>分</w:t>
            </w:r>
            <w:r>
              <w:rPr>
                <w:rFonts w:hint="eastAsia" w:ascii="Times New Roman" w:hAnsi="Times New Roman" w:eastAsia="宋体" w:cs="Times New Roman"/>
                <w:color w:val="auto"/>
                <w:kern w:val="0"/>
                <w:sz w:val="22"/>
                <w:szCs w:val="22"/>
                <w:highlight w:val="none"/>
                <w:lang w:val="en-US" w:eastAsia="zh-CN" w:bidi="ar"/>
              </w:rPr>
              <w:t>）</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企业主要负责人是本单位的消防安全责任人，对本单位的消防安全工作全面负责</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2"/>
                <w:sz w:val="22"/>
                <w:szCs w:val="22"/>
                <w:lang w:val="en-US" w:eastAsia="zh-CN" w:bidi="ar-SA"/>
              </w:rPr>
              <w:t>《中华人民共和国消防法》第十六条规定：单位的主要负责人是本单位的消防安全责任人。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2"/>
                <w:sz w:val="22"/>
                <w:szCs w:val="22"/>
                <w:lang w:val="en-US" w:eastAsia="zh-CN" w:bidi="ar-SA"/>
              </w:rPr>
              <w:t>消防安全责任人是对单位的消防安全工作全面负责的人。一般法人单位的法定代表人或非法人单位的主要负责人是单位的消防安全责任人</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highlight w:val="none"/>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无消防安全责任制文件，</w:t>
            </w:r>
            <w:r>
              <w:rPr>
                <w:rFonts w:hint="eastAsia" w:ascii="Times New Roman" w:hAnsi="Times New Roman" w:eastAsia="宋体" w:cs="Times New Roman"/>
                <w:color w:val="auto"/>
                <w:kern w:val="0"/>
                <w:sz w:val="22"/>
                <w:szCs w:val="22"/>
                <w:lang w:val="en-US" w:eastAsia="zh-CN" w:bidi="ar"/>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企业应制定消防设施及器材管理制度，消防器材及设施应有专人负责，定期组织检验、维修，保存检验、维修记录，确保所有消防器材及设施可靠、有效，随时可用</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消防器材及设施应有专人负责管理，包括对器材设施的日常维护，定期检验维修等，并应做好相应记录，保证所有消防器材可靠、有效，随时可用</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FF0000"/>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9"/>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无管理制度</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19"/>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未</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明确负责人</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19"/>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无消防设施及器材检修记录</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4.消防器材及设施无效，</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企业应保障安全出口、疏散通道及消防车通道的畅通，消防通道应有明显的指示标志</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企业办公场所</w:t>
            </w:r>
            <w:r>
              <w:rPr>
                <w:rFonts w:hint="default" w:ascii="Times New Roman" w:hAnsi="Times New Roman" w:eastAsia="宋体" w:cs="Times New Roman"/>
                <w:color w:val="auto"/>
                <w:kern w:val="0"/>
                <w:sz w:val="22"/>
                <w:szCs w:val="22"/>
                <w:lang w:val="en-US" w:eastAsia="zh-CN" w:bidi="ar"/>
              </w:rPr>
              <w:t>应该按照《建筑设计防火规范》（GB 50016—2014）</w:t>
            </w:r>
            <w:r>
              <w:rPr>
                <w:rFonts w:hint="eastAsia" w:ascii="Times New Roman" w:hAnsi="Times New Roman" w:eastAsia="宋体" w:cs="Times New Roman"/>
                <w:color w:val="auto"/>
                <w:kern w:val="0"/>
                <w:sz w:val="22"/>
                <w:szCs w:val="22"/>
                <w:lang w:val="en-US" w:eastAsia="zh-CN" w:bidi="ar"/>
              </w:rPr>
              <w:t>2018版</w:t>
            </w:r>
            <w:r>
              <w:rPr>
                <w:rFonts w:hint="default" w:ascii="Times New Roman" w:hAnsi="Times New Roman" w:eastAsia="宋体" w:cs="Times New Roman"/>
                <w:color w:val="auto"/>
                <w:kern w:val="0"/>
                <w:sz w:val="22"/>
                <w:szCs w:val="22"/>
                <w:lang w:val="en-US" w:eastAsia="zh-CN" w:bidi="ar"/>
              </w:rPr>
              <w:t>，合理设计、管理本单位安全出口、疏散通道及消防车通道。安全出口、疏散通道及消防车通道不得被侵占或挪作它用，并应有明显的指示标志</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消防通道不畅通的，</w:t>
            </w:r>
            <w:r>
              <w:rPr>
                <w:rFonts w:hint="eastAsia" w:ascii="Times New Roman" w:hAnsi="Times New Roman" w:eastAsia="宋体" w:cs="Times New Roman"/>
                <w:color w:val="auto"/>
                <w:kern w:val="0"/>
                <w:sz w:val="22"/>
                <w:szCs w:val="22"/>
                <w:lang w:val="en-US" w:eastAsia="zh-CN" w:bidi="ar"/>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十、</w:t>
            </w:r>
            <w:r>
              <w:rPr>
                <w:rFonts w:hint="default" w:ascii="Times New Roman" w:hAnsi="Times New Roman" w:eastAsia="宋体" w:cs="Times New Roman"/>
                <w:color w:val="auto"/>
                <w:kern w:val="0"/>
                <w:sz w:val="22"/>
                <w:szCs w:val="22"/>
                <w:lang w:val="en-US" w:eastAsia="zh-CN" w:bidi="ar"/>
              </w:rPr>
              <w:t xml:space="preserve"> 风险管理 </w:t>
            </w:r>
            <w:r>
              <w:rPr>
                <w:rFonts w:hint="eastAsia" w:ascii="Times New Roman" w:hAnsi="Times New Roman" w:eastAsia="宋体" w:cs="Times New Roman"/>
                <w:color w:val="auto"/>
                <w:kern w:val="0"/>
                <w:sz w:val="22"/>
                <w:szCs w:val="22"/>
                <w:lang w:val="en-US" w:eastAsia="zh-CN" w:bidi="ar"/>
              </w:rPr>
              <w:t>80</w:t>
            </w:r>
            <w:r>
              <w:rPr>
                <w:rFonts w:hint="default" w:ascii="Times New Roman" w:hAnsi="Times New Roman" w:eastAsia="宋体" w:cs="Times New Roman"/>
                <w:color w:val="auto"/>
                <w:kern w:val="0"/>
                <w:sz w:val="22"/>
                <w:szCs w:val="22"/>
                <w:lang w:val="en-US" w:eastAsia="zh-CN" w:bidi="ar"/>
              </w:rPr>
              <w:t>分</w:t>
            </w:r>
          </w:p>
        </w:tc>
        <w:tc>
          <w:tcPr>
            <w:tcW w:w="65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10.1 一般要求</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企业应依法依规建立健全安全生产风险管理制度，选定合适的风险评估方法，明确风险评估规则</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《安全生产法》</w:t>
            </w:r>
            <w:r>
              <w:rPr>
                <w:rFonts w:hint="default" w:ascii="Times New Roman" w:hAnsi="Times New Roman" w:eastAsia="宋体" w:cs="Times New Roman"/>
                <w:color w:val="auto"/>
                <w:kern w:val="0"/>
                <w:sz w:val="22"/>
                <w:szCs w:val="22"/>
                <w:lang w:val="en-US" w:eastAsia="zh-CN" w:bidi="ar"/>
              </w:rPr>
              <w:t>第四条</w:t>
            </w:r>
            <w:r>
              <w:rPr>
                <w:rFonts w:hint="eastAsia" w:ascii="Times New Roman" w:hAnsi="Times New Roman" w:eastAsia="宋体" w:cs="Times New Roman"/>
                <w:color w:val="auto"/>
                <w:kern w:val="0"/>
                <w:sz w:val="22"/>
                <w:szCs w:val="22"/>
                <w:lang w:val="en-US" w:eastAsia="zh-CN" w:bidi="ar"/>
              </w:rPr>
              <w:t xml:space="preserve"> </w:t>
            </w:r>
            <w:r>
              <w:rPr>
                <w:rFonts w:hint="default" w:ascii="Times New Roman" w:hAnsi="Times New Roman" w:eastAsia="宋体" w:cs="Times New Roman"/>
                <w:color w:val="auto"/>
                <w:kern w:val="0"/>
                <w:sz w:val="22"/>
                <w:szCs w:val="22"/>
                <w:lang w:val="en-US" w:eastAsia="zh-CN" w:bidi="ar"/>
              </w:rPr>
              <w:t>生产经营单位必须遵守本法和其他有关安全生产的法律、法规，加强安全生产管理，建立健全全员安全生产责任制和安全生产规章制度，加大对安全生产资金、物资、技术、人员的投入保障力度，改善安全生产条件，加强安全生产标准化、信息化建设，构建安全风险分级管控和隐患排查治理双重预防机制，健全风险防范化解机制，提高安全生产水平，确保安全生产。</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企业应编制风险评价规则，规则应根据不同岗位、过程和场所辨识风险，从发生危险的可能性和严重程度等方面对风险因素进行分析，选择采用合适的风险评估方法。</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未制定发布企业安全生产风险管理工作制度</w:t>
            </w:r>
            <w:r>
              <w:rPr>
                <w:rFonts w:hint="eastAsia" w:ascii="Times New Roman" w:hAnsi="Times New Roman" w:eastAsia="宋体" w:cs="Times New Roman"/>
                <w:color w:val="auto"/>
                <w:kern w:val="0"/>
                <w:sz w:val="22"/>
                <w:szCs w:val="22"/>
                <w:lang w:val="en-US" w:eastAsia="zh-CN" w:bidi="ar"/>
              </w:rPr>
              <w:t>，辨识、评价方法和准则不明确的，不符合</w:t>
            </w:r>
            <w:r>
              <w:rPr>
                <w:rFonts w:hint="default" w:ascii="Times New Roman" w:hAnsi="Times New Roman" w:eastAsia="宋体" w:cs="Times New Roman"/>
                <w:color w:val="auto"/>
                <w:kern w:val="0"/>
                <w:sz w:val="22"/>
                <w:szCs w:val="22"/>
                <w:lang w:val="en-US" w:eastAsia="zh-CN" w:bidi="ar"/>
              </w:rPr>
              <w:t>；</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65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10.</w:t>
            </w: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 xml:space="preserve"> 风险</w:t>
            </w:r>
            <w:r>
              <w:rPr>
                <w:rFonts w:hint="eastAsia" w:ascii="Times New Roman" w:hAnsi="Times New Roman" w:eastAsia="宋体" w:cs="Times New Roman"/>
                <w:color w:val="auto"/>
                <w:kern w:val="0"/>
                <w:sz w:val="22"/>
                <w:szCs w:val="22"/>
                <w:lang w:val="en-US" w:eastAsia="zh-CN" w:bidi="ar"/>
              </w:rPr>
              <w:t>辨识</w:t>
            </w:r>
            <w:r>
              <w:rPr>
                <w:rFonts w:hint="default" w:ascii="Times New Roman" w:hAnsi="Times New Roman" w:eastAsia="宋体" w:cs="Times New Roman"/>
                <w:color w:val="auto"/>
                <w:kern w:val="0"/>
                <w:sz w:val="22"/>
                <w:szCs w:val="22"/>
                <w:lang w:val="en-US" w:eastAsia="zh-CN" w:bidi="ar"/>
              </w:rPr>
              <w:t>评估</w:t>
            </w:r>
            <w:r>
              <w:rPr>
                <w:rFonts w:hint="eastAsia" w:ascii="Times New Roman" w:hAnsi="Times New Roman" w:eastAsia="宋体" w:cs="Times New Roman"/>
                <w:color w:val="auto"/>
                <w:kern w:val="0"/>
                <w:sz w:val="22"/>
                <w:szCs w:val="22"/>
                <w:lang w:val="en-US" w:eastAsia="zh-CN" w:bidi="ar"/>
              </w:rPr>
              <w:t>（30分）</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企业应从发生危险的可能性和严重程度等方面对风险因素进行分析，开展本单位管理范围内的风险辨识、评估、管控等工作</w:t>
            </w:r>
            <w:r>
              <w:rPr>
                <w:rFonts w:hint="eastAsia" w:ascii="Times New Roman" w:hAnsi="Times New Roman" w:eastAsia="宋体" w:cs="Times New Roman"/>
                <w:color w:val="auto"/>
                <w:kern w:val="0"/>
                <w:sz w:val="22"/>
                <w:szCs w:val="22"/>
                <w:lang w:val="en-US" w:eastAsia="zh-CN" w:bidi="ar"/>
              </w:rPr>
              <w:t>。</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sz w:val="22"/>
                <w:szCs w:val="22"/>
              </w:rPr>
            </w:pPr>
            <w:r>
              <w:rPr>
                <w:rFonts w:hint="eastAsia" w:ascii="宋体" w:hAnsi="宋体"/>
                <w:sz w:val="22"/>
                <w:szCs w:val="22"/>
              </w:rPr>
              <w:t>依据</w:t>
            </w:r>
            <w:r>
              <w:rPr>
                <w:rFonts w:ascii="宋体" w:hAnsi="宋体"/>
                <w:sz w:val="22"/>
                <w:szCs w:val="22"/>
              </w:rPr>
              <w:t>《</w:t>
            </w:r>
            <w:r>
              <w:rPr>
                <w:rFonts w:hint="eastAsia" w:ascii="宋体" w:hAnsi="宋体"/>
                <w:sz w:val="22"/>
                <w:szCs w:val="22"/>
              </w:rPr>
              <w:t>公路水路行业</w:t>
            </w:r>
            <w:r>
              <w:rPr>
                <w:rFonts w:ascii="宋体" w:hAnsi="宋体"/>
                <w:sz w:val="22"/>
                <w:szCs w:val="22"/>
              </w:rPr>
              <w:t>安全生产风险管理</w:t>
            </w:r>
            <w:r>
              <w:rPr>
                <w:rFonts w:hint="eastAsia" w:ascii="宋体" w:hAnsi="宋体"/>
                <w:sz w:val="22"/>
                <w:szCs w:val="22"/>
              </w:rPr>
              <w:t>暂行办法</w:t>
            </w:r>
            <w:r>
              <w:rPr>
                <w:rFonts w:ascii="宋体" w:hAnsi="宋体"/>
                <w:sz w:val="22"/>
                <w:szCs w:val="22"/>
              </w:rPr>
              <w:t>》</w:t>
            </w:r>
            <w:r>
              <w:rPr>
                <w:rFonts w:hint="eastAsia" w:ascii="宋体" w:hAnsi="宋体"/>
                <w:sz w:val="22"/>
                <w:szCs w:val="22"/>
              </w:rPr>
              <w:t>第十一条明确要求：生产经营单位应针对本单位生产经营活动范围及其生产经营环节，按照相关法规标准要求，编制风险辨识手册，明确风险辨识范围、方式和程序。</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风险辨识是运用各种方法对尚未发生的潜在风险以及客观存在的各种风险进行系统归类和全面识别。</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辨识范围：</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 xml:space="preserve">（一）从业人员安全意识、安全与应急技能、安全行为或状态； </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 xml:space="preserve">（二）生产经营场所、运输车辆、停车场、道路运输等设施设备的安全可靠性以及运行风险； </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 xml:space="preserve">（三）影响安全生产外部要素的环境； </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仿宋" w:hAnsi="仿宋" w:eastAsia="仿宋" w:cs="宋体"/>
                <w:kern w:val="0"/>
                <w:sz w:val="22"/>
                <w:szCs w:val="22"/>
              </w:rPr>
            </w:pPr>
            <w:r>
              <w:rPr>
                <w:rFonts w:hint="eastAsia" w:ascii="Times New Roman" w:hAnsi="Times New Roman" w:eastAsia="宋体" w:cs="Times New Roman"/>
                <w:color w:val="auto"/>
                <w:kern w:val="0"/>
                <w:sz w:val="22"/>
                <w:szCs w:val="22"/>
                <w:lang w:val="en-US" w:eastAsia="zh-CN" w:bidi="ar"/>
              </w:rPr>
              <w:t>（四）安全生产的管理机构、工作机制及安全生产管理制度合规和完备性</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FF0000"/>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1</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无风险辨识、评估等工作的记录，</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2</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.辨识评估</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不全面或缺失，</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3.</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风险清单无风险等级，</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750" w:hRule="atLeast"/>
        </w:trPr>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default" w:ascii="宋体" w:hAnsi="宋体"/>
                <w:sz w:val="22"/>
                <w:szCs w:val="22"/>
                <w:lang w:val="en-US" w:eastAsia="zh-CN"/>
              </w:rPr>
              <w:fldChar w:fldCharType="begin"/>
            </w:r>
            <w:r>
              <w:rPr>
                <w:rFonts w:hint="default" w:ascii="宋体" w:hAnsi="宋体"/>
                <w:sz w:val="22"/>
                <w:szCs w:val="22"/>
                <w:lang w:val="en-US" w:eastAsia="zh-CN"/>
              </w:rPr>
              <w:instrText xml:space="preserve"> = 2 \* GB3 \* MERGEFORMAT </w:instrText>
            </w:r>
            <w:r>
              <w:rPr>
                <w:rFonts w:hint="default" w:ascii="宋体" w:hAnsi="宋体"/>
                <w:sz w:val="22"/>
                <w:szCs w:val="22"/>
                <w:lang w:val="en-US" w:eastAsia="zh-CN"/>
              </w:rPr>
              <w:fldChar w:fldCharType="separate"/>
            </w:r>
            <w:r>
              <w:rPr>
                <w:rFonts w:hint="eastAsia" w:ascii="宋体" w:hAnsi="宋体"/>
                <w:sz w:val="22"/>
                <w:szCs w:val="22"/>
                <w:lang w:val="en-US" w:eastAsia="zh-CN"/>
              </w:rPr>
              <w:t>②</w:t>
            </w:r>
            <w:r>
              <w:rPr>
                <w:rFonts w:hint="default" w:ascii="宋体" w:hAnsi="宋体"/>
                <w:sz w:val="22"/>
                <w:szCs w:val="22"/>
                <w:lang w:val="en-US" w:eastAsia="zh-CN"/>
              </w:rPr>
              <w:fldChar w:fldCharType="end"/>
            </w:r>
            <w:r>
              <w:rPr>
                <w:rFonts w:hint="eastAsia" w:ascii="宋体" w:hAnsi="宋体"/>
                <w:sz w:val="22"/>
                <w:szCs w:val="22"/>
                <w:lang w:val="en-US" w:eastAsia="zh-CN"/>
              </w:rPr>
              <w:t>运输企业风险点辨识至少要包含：普通货物风险、车辆（技术状况、主动装置、被动安全装置）、行驶路线（急转弯、连续下坡、山区道路、隧道、桥梁、冰雪路面、涉水路面、城乡结合部路段等）、驾驶人员不安全行为（疲劳、酒后、接打电话、注意力不集中、带病驾驶、心里状态等）、恶劣天气（雨雪、大雾、高温、沙尘等）、自然灾害（地震、冰雹等）。</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240FEB"/>
                <w:kern w:val="0"/>
                <w:sz w:val="22"/>
                <w:szCs w:val="22"/>
                <w:highlight w:val="none"/>
                <w:lang w:val="en-US" w:eastAsia="zh-CN" w:bidi="ar"/>
              </w:rPr>
            </w:pP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15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FF0000"/>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65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10.3</w:t>
            </w:r>
            <w:r>
              <w:rPr>
                <w:rFonts w:hint="default" w:ascii="Times New Roman" w:hAnsi="Times New Roman" w:eastAsia="宋体" w:cs="Times New Roman"/>
                <w:color w:val="auto"/>
                <w:kern w:val="0"/>
                <w:sz w:val="22"/>
                <w:szCs w:val="22"/>
                <w:lang w:val="en-US" w:eastAsia="zh-CN" w:bidi="ar"/>
              </w:rPr>
              <w:t>风险控制</w:t>
            </w:r>
            <w:r>
              <w:rPr>
                <w:rFonts w:hint="eastAsia" w:ascii="Times New Roman" w:hAnsi="Times New Roman" w:eastAsia="宋体" w:cs="Times New Roman"/>
                <w:color w:val="auto"/>
                <w:kern w:val="0"/>
                <w:sz w:val="22"/>
                <w:szCs w:val="22"/>
                <w:lang w:val="en-US" w:eastAsia="zh-CN" w:bidi="ar"/>
              </w:rPr>
              <w:t>（20分）</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建立风险管控清单，</w:t>
            </w:r>
            <w:r>
              <w:rPr>
                <w:rFonts w:hint="default" w:ascii="Times New Roman" w:hAnsi="Times New Roman" w:eastAsia="宋体" w:cs="Times New Roman"/>
                <w:color w:val="auto"/>
                <w:kern w:val="0"/>
                <w:sz w:val="22"/>
                <w:szCs w:val="22"/>
                <w:lang w:val="en-US" w:eastAsia="zh-CN" w:bidi="ar"/>
              </w:rPr>
              <w:t>企业应根据风险评估结果及经营运行情况等，按以下顺序确定控制措施： a）消除； b）替代；</w:t>
            </w:r>
            <w:r>
              <w:rPr>
                <w:rFonts w:hint="default" w:ascii="Times New Roman" w:hAnsi="Times New Roman" w:eastAsia="宋体" w:cs="Times New Roman"/>
                <w:color w:val="auto"/>
                <w:kern w:val="0"/>
                <w:sz w:val="22"/>
                <w:szCs w:val="22"/>
                <w:highlight w:val="none"/>
                <w:lang w:val="en-US" w:eastAsia="zh-CN" w:bidi="ar"/>
              </w:rPr>
              <w:t xml:space="preserve"> c）</w:t>
            </w:r>
            <w:r>
              <w:rPr>
                <w:rFonts w:hint="default" w:ascii="Times New Roman" w:hAnsi="Times New Roman" w:eastAsia="宋体" w:cs="Times New Roman"/>
                <w:color w:val="auto"/>
                <w:kern w:val="0"/>
                <w:sz w:val="22"/>
                <w:szCs w:val="22"/>
                <w:lang w:val="en-US" w:eastAsia="zh-CN" w:bidi="ar"/>
              </w:rPr>
              <w:t>设置标志警告和（或）管理控制措施； e）个体防护装备等</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企业应根据风险评价的结果及经营运行情况等，确定不可接受的风险，制定并落实控制措施，将风险尤其是重大风险控制在可以接受的程度；风险控制措施符合相关标准要求。企业在选择风险控制措施时：</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1、应考虑：⑴可行性；⑵安全性；⑶可靠性。</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仿宋" w:hAnsi="仿宋" w:eastAsia="仿宋" w:cs="宋体"/>
                <w:kern w:val="0"/>
                <w:sz w:val="22"/>
                <w:szCs w:val="22"/>
              </w:rPr>
            </w:pPr>
            <w:r>
              <w:rPr>
                <w:rFonts w:hint="eastAsia" w:ascii="Times New Roman" w:hAnsi="Times New Roman" w:eastAsia="宋体" w:cs="Times New Roman"/>
                <w:color w:val="auto"/>
                <w:kern w:val="0"/>
                <w:sz w:val="22"/>
                <w:szCs w:val="22"/>
                <w:lang w:val="en-US" w:eastAsia="zh-CN" w:bidi="ar"/>
              </w:rPr>
              <w:t>2、应包括：⑴工程技术措施；⑵管理措施；⑶培训教育措施；⑷个体防护措施</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FF0000"/>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1.未建立风险管控清单；不符合。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.重大风险未登记或报备，</w:t>
            </w:r>
            <w:r>
              <w:rPr>
                <w:rFonts w:hint="eastAsia" w:ascii="Times New Roman" w:hAnsi="Times New Roman" w:eastAsia="宋体" w:cs="Times New Roman"/>
                <w:color w:val="auto"/>
                <w:kern w:val="0"/>
                <w:sz w:val="22"/>
                <w:szCs w:val="22"/>
                <w:lang w:val="en-US" w:eastAsia="zh-CN" w:bidi="ar"/>
              </w:rPr>
              <w:t>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3.未开展主要风险控制措施培训的，不符合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highlight w:val="none"/>
                <w:lang w:val="en-US" w:eastAsia="zh-CN" w:bidi="ar"/>
              </w:rPr>
              <w:t>10.</w:t>
            </w:r>
            <w:r>
              <w:rPr>
                <w:rFonts w:hint="eastAsia" w:ascii="Times New Roman" w:hAnsi="Times New Roman" w:eastAsia="宋体" w:cs="Times New Roman"/>
                <w:color w:val="auto"/>
                <w:kern w:val="0"/>
                <w:sz w:val="22"/>
                <w:szCs w:val="22"/>
                <w:highlight w:val="none"/>
                <w:lang w:val="en-US" w:eastAsia="zh-CN" w:bidi="ar"/>
              </w:rPr>
              <w:t>4</w:t>
            </w:r>
            <w:r>
              <w:rPr>
                <w:rFonts w:hint="default" w:ascii="Times New Roman" w:hAnsi="Times New Roman" w:eastAsia="宋体" w:cs="Times New Roman"/>
                <w:color w:val="auto"/>
                <w:kern w:val="0"/>
                <w:sz w:val="22"/>
                <w:szCs w:val="22"/>
                <w:highlight w:val="none"/>
                <w:lang w:val="en-US" w:eastAsia="zh-CN" w:bidi="ar"/>
              </w:rPr>
              <w:t xml:space="preserve"> 重大风险管控 </w:t>
            </w:r>
            <w:r>
              <w:rPr>
                <w:rFonts w:hint="eastAsia" w:ascii="Times New Roman" w:hAnsi="Times New Roman" w:eastAsia="宋体" w:cs="Times New Roman"/>
                <w:color w:val="auto"/>
                <w:kern w:val="0"/>
                <w:sz w:val="22"/>
                <w:szCs w:val="22"/>
                <w:lang w:val="en-US" w:eastAsia="zh-CN" w:bidi="ar"/>
              </w:rPr>
              <w:t>（20分）</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企业对重大风险进行登记建档，设置重大风险监控系统，制定动态监测计划，并单独编制专项应急措施</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根据《公路水路行业安全生产风险管理暂行办法》第二十四条规定：生产经营单位应如实记录风险辨识、评估、监测、管控等工作，并规范管理档案。重大风险应单独建立清单和专项档案。第二十六条规定：（一）：对重大风险制定动态监测计划，定期更新监测数据或状态，每月不少于1次，并单独建档；（二）重大风险应单独编制专项应急措施；</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企业对确定认的重大风险都应按照规定登记建档。重大风险档案主要内容包括基本信息、管控信息、预警信息和事故信息等</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20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1</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企业未建立重大风险登记档案，</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2</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无针对重大风险的专项应急措施。</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3</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.重大风险的专项应急措施不正确或不全面</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1862" w:hRule="atLeast"/>
        </w:trPr>
        <w:tc>
          <w:tcPr>
            <w:tcW w:w="88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十一、</w:t>
            </w:r>
            <w:r>
              <w:rPr>
                <w:rFonts w:hint="default" w:ascii="Times New Roman" w:hAnsi="Times New Roman" w:eastAsia="宋体" w:cs="Times New Roman"/>
                <w:color w:val="auto"/>
                <w:kern w:val="0"/>
                <w:sz w:val="22"/>
                <w:szCs w:val="22"/>
                <w:lang w:val="en-US" w:eastAsia="zh-CN" w:bidi="ar"/>
              </w:rPr>
              <w:t xml:space="preserve"> 隐患排查与治理 </w:t>
            </w:r>
            <w:r>
              <w:rPr>
                <w:rFonts w:hint="eastAsia" w:ascii="Times New Roman" w:hAnsi="Times New Roman" w:eastAsia="宋体" w:cs="Times New Roman"/>
                <w:color w:val="auto"/>
                <w:kern w:val="0"/>
                <w:sz w:val="22"/>
                <w:szCs w:val="22"/>
                <w:lang w:val="en-US" w:eastAsia="zh-CN" w:bidi="ar"/>
              </w:rPr>
              <w:t>7</w:t>
            </w:r>
            <w:r>
              <w:rPr>
                <w:rFonts w:hint="default" w:ascii="Times New Roman" w:hAnsi="Times New Roman" w:eastAsia="宋体" w:cs="Times New Roman"/>
                <w:color w:val="auto"/>
                <w:kern w:val="0"/>
                <w:sz w:val="22"/>
                <w:szCs w:val="22"/>
                <w:lang w:val="en-US" w:eastAsia="zh-CN" w:bidi="ar"/>
              </w:rPr>
              <w:t>0分</w:t>
            </w:r>
          </w:p>
        </w:tc>
        <w:tc>
          <w:tcPr>
            <w:tcW w:w="65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11.1 隐患排查</w:t>
            </w:r>
            <w:r>
              <w:rPr>
                <w:rFonts w:hint="eastAsia" w:ascii="Times New Roman" w:hAnsi="Times New Roman" w:eastAsia="宋体" w:cs="Times New Roman"/>
                <w:color w:val="auto"/>
                <w:kern w:val="0"/>
                <w:sz w:val="22"/>
                <w:szCs w:val="22"/>
                <w:lang w:val="en-US" w:eastAsia="zh-CN" w:bidi="ar"/>
              </w:rPr>
              <w:t>（4</w:t>
            </w:r>
            <w:r>
              <w:rPr>
                <w:rFonts w:hint="default" w:ascii="Times New Roman" w:hAnsi="Times New Roman" w:eastAsia="宋体" w:cs="Times New Roman"/>
                <w:color w:val="auto"/>
                <w:kern w:val="0"/>
                <w:sz w:val="22"/>
                <w:szCs w:val="22"/>
                <w:lang w:val="en-US" w:eastAsia="zh-CN" w:bidi="ar"/>
              </w:rPr>
              <w:t>0</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分</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企业应落实隐患排查治理和防控责任制，组织事故隐患排查治理工作，实行从隐患排查、记录、监控、治理、销账到报告的闭环管理</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生产法》第四十一条规定：生产经营单位应当建立健全并落实生产安全事故隐患排查治理制度，采取技术、管理措施，及时发现并消除事故隐患。事故隐患排查治理情况应当如实记录，并通过职工大会或者职工代表大会、信息公示栏等方式向从业人员通报。其中，重大事故隐患排查治理情况应当及时向负有安全生产监督管理职责的部门和职工大会或者职工代表大会报告</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企业应制定隐患排查治理和防控制度；</w:t>
            </w:r>
          </w:p>
          <w:p>
            <w:pPr>
              <w:keepNext w:val="0"/>
              <w:keepLines w:val="0"/>
              <w:pageBreakBefore w:val="0"/>
              <w:widowControl/>
              <w:numPr>
                <w:ilvl w:val="0"/>
                <w:numId w:val="2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企业应明确隐患排查治理的责任部门和人员；</w:t>
            </w:r>
          </w:p>
          <w:p>
            <w:pPr>
              <w:keepNext w:val="0"/>
              <w:keepLines w:val="0"/>
              <w:pageBreakBefore w:val="0"/>
              <w:widowControl/>
              <w:numPr>
                <w:ilvl w:val="0"/>
                <w:numId w:val="2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制度应明确安全隐患排查、记录、监控、治理、销账和报告等闭环要求</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lang w:val="en-US" w:eastAsia="zh-CN"/>
              </w:rPr>
              <w:fldChar w:fldCharType="begin"/>
            </w:r>
            <w:r>
              <w:rPr>
                <w:rFonts w:hint="default"/>
                <w:lang w:val="en-US" w:eastAsia="zh-CN"/>
              </w:rPr>
              <w:instrText xml:space="preserve"> = 2 \* GB3 \* MERGEFORMAT </w:instrText>
            </w:r>
            <w:r>
              <w:rPr>
                <w:rFonts w:hint="default"/>
                <w:lang w:val="en-US" w:eastAsia="zh-CN"/>
              </w:rPr>
              <w:fldChar w:fldCharType="separate"/>
            </w:r>
            <w:r>
              <w:rPr>
                <w:rFonts w:hint="default"/>
                <w:lang w:val="en-US" w:eastAsia="zh-CN"/>
              </w:rPr>
              <w:t>②</w:t>
            </w:r>
            <w:r>
              <w:rPr>
                <w:rFonts w:hint="default"/>
                <w:lang w:val="en-US" w:eastAsia="zh-CN"/>
              </w:rPr>
              <w:fldChar w:fldCharType="end"/>
            </w:r>
            <w:r>
              <w:rPr>
                <w:rFonts w:hint="default"/>
                <w:lang w:val="en-US" w:eastAsia="zh-CN"/>
              </w:rPr>
              <w:t>企业应依据有关法律法规、标准规范等，组织制定各部门、岗位、场所、设备设施的隐患排查治理标准或排查清单，明确隐患排查的时限、范围、内容和要求，并组织 开展相应的培训。隐患排查的范围应包括所有与生产经营相关的场所、</w:t>
            </w:r>
            <w:r>
              <w:rPr>
                <w:rFonts w:hint="default" w:ascii="Times New Roman" w:hAnsi="Times New Roman" w:eastAsia="宋体" w:cs="Times New Roman"/>
                <w:color w:val="auto"/>
                <w:kern w:val="0"/>
                <w:sz w:val="22"/>
                <w:szCs w:val="22"/>
                <w:lang w:val="en-US" w:eastAsia="zh-CN" w:bidi="ar"/>
              </w:rPr>
              <w:t>人员、</w:t>
            </w:r>
            <w:r>
              <w:rPr>
                <w:rFonts w:hint="eastAsia" w:ascii="Times New Roman" w:hAnsi="Times New Roman" w:eastAsia="宋体" w:cs="Times New Roman"/>
                <w:color w:val="auto"/>
                <w:kern w:val="0"/>
                <w:sz w:val="22"/>
                <w:szCs w:val="22"/>
                <w:lang w:val="en-US" w:eastAsia="zh-CN" w:bidi="ar"/>
              </w:rPr>
              <w:t>车辆、停车场、作业</w:t>
            </w:r>
            <w:r>
              <w:rPr>
                <w:rFonts w:hint="default" w:ascii="Times New Roman" w:hAnsi="Times New Roman" w:eastAsia="宋体" w:cs="Times New Roman"/>
                <w:color w:val="auto"/>
                <w:kern w:val="0"/>
                <w:sz w:val="22"/>
                <w:szCs w:val="22"/>
                <w:lang w:val="en-US" w:eastAsia="zh-CN" w:bidi="ar"/>
              </w:rPr>
              <w:t>活动</w:t>
            </w:r>
            <w:r>
              <w:rPr>
                <w:rFonts w:hint="eastAsia" w:ascii="Times New Roman" w:hAnsi="Times New Roman" w:eastAsia="宋体" w:cs="Times New Roman"/>
                <w:color w:val="auto"/>
                <w:kern w:val="0"/>
                <w:sz w:val="22"/>
                <w:szCs w:val="22"/>
                <w:lang w:val="en-US" w:eastAsia="zh-CN" w:bidi="ar"/>
              </w:rPr>
              <w:t>和安全管理</w:t>
            </w:r>
            <w:r>
              <w:rPr>
                <w:rFonts w:hint="default" w:ascii="Times New Roman" w:hAnsi="Times New Roman" w:eastAsia="宋体" w:cs="Times New Roman"/>
                <w:color w:val="auto"/>
                <w:kern w:val="0"/>
                <w:sz w:val="22"/>
                <w:szCs w:val="22"/>
                <w:lang w:val="en-US" w:eastAsia="zh-CN" w:bidi="ar"/>
              </w:rPr>
              <w:t>，包括承包商和供应商等相关服务范围</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eastAsia="仿宋_GB2312"/>
                <w:lang w:val="en-US" w:eastAsia="zh-CN"/>
              </w:rPr>
            </w:pPr>
            <w:r>
              <w:rPr>
                <w:rFonts w:hint="eastAsia" w:ascii="Times New Roman" w:hAnsi="Times New Roman" w:eastAsia="宋体" w:cs="Times New Roman"/>
                <w:color w:val="auto"/>
                <w:kern w:val="0"/>
                <w:sz w:val="22"/>
                <w:szCs w:val="22"/>
                <w:lang w:val="en-US" w:eastAsia="zh-CN" w:bidi="ar"/>
              </w:rPr>
              <w:t>隐患排查点：人的不安全行为（）、车的安全状态（）、环境因素（）、</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依据《安全生产事故隐患排查治理暂行规定》(国家安全生产监督管理总局令第16号)</w:t>
            </w:r>
            <w:r>
              <w:rPr>
                <w:rFonts w:hint="eastAsia" w:ascii="Times New Roman" w:hAnsi="Times New Roman" w:eastAsia="宋体" w:cs="Times New Roman"/>
                <w:color w:val="auto"/>
                <w:kern w:val="0"/>
                <w:sz w:val="22"/>
                <w:szCs w:val="22"/>
                <w:lang w:val="en-US" w:eastAsia="zh-Hans" w:bidi="ar"/>
              </w:rPr>
              <w:t>要求</w:t>
            </w:r>
            <w:r>
              <w:rPr>
                <w:rFonts w:hint="eastAsia" w:ascii="Times New Roman" w:hAnsi="Times New Roman" w:eastAsia="宋体" w:cs="Times New Roman"/>
                <w:color w:val="auto"/>
                <w:kern w:val="0"/>
                <w:sz w:val="22"/>
                <w:szCs w:val="22"/>
                <w:lang w:val="en-US" w:eastAsia="zh-CN" w:bidi="ar"/>
              </w:rPr>
              <w:t>，组织制定各部门、岗位、场所、设备设施的隐患排查治理标准或排查清单，明确隐患排查的时限、范围、内容和要求，并组织开展相应的培训。隐患排查的范围应包括所有与生产经营相关的场所、人员、设备设施和活动，包括承包商和供应商等相关服务范围</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1"/>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strike w:val="0"/>
                <w:dstrike w:val="0"/>
                <w:color w:val="auto"/>
                <w:kern w:val="0"/>
                <w:sz w:val="22"/>
                <w:szCs w:val="22"/>
                <w:lang w:val="en-US" w:eastAsia="zh-CN" w:bidi="ar"/>
              </w:rPr>
              <w:t>未</w:t>
            </w:r>
            <w:r>
              <w:rPr>
                <w:rFonts w:hint="default" w:ascii="Times New Roman" w:hAnsi="Times New Roman" w:eastAsia="宋体" w:cs="Times New Roman"/>
                <w:color w:val="auto"/>
                <w:kern w:val="0"/>
                <w:sz w:val="22"/>
                <w:szCs w:val="22"/>
                <w:lang w:val="en-US" w:eastAsia="zh-CN" w:bidi="ar"/>
              </w:rPr>
              <w:t>制定隐患排查</w:t>
            </w:r>
            <w:r>
              <w:rPr>
                <w:rFonts w:hint="eastAsia" w:ascii="Times New Roman" w:hAnsi="Times New Roman" w:eastAsia="宋体" w:cs="Times New Roman"/>
                <w:color w:val="auto"/>
                <w:kern w:val="0"/>
                <w:sz w:val="22"/>
                <w:szCs w:val="22"/>
                <w:lang w:val="en-US" w:eastAsia="zh-CN" w:bidi="ar"/>
              </w:rPr>
              <w:t>计划</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21"/>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隐患排查的时限、范围、内容和要求</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21"/>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隐患排查的范围未包括所有与生产经营相关的</w:t>
            </w:r>
            <w:r>
              <w:rPr>
                <w:rFonts w:hint="default" w:ascii="Times New Roman" w:hAnsi="Times New Roman" w:eastAsia="宋体" w:cs="Times New Roman"/>
                <w:color w:val="auto"/>
                <w:kern w:val="0"/>
                <w:sz w:val="22"/>
                <w:szCs w:val="22"/>
                <w:highlight w:val="none"/>
                <w:lang w:val="en-US" w:eastAsia="zh-CN" w:bidi="ar"/>
              </w:rPr>
              <w:t>场所、</w:t>
            </w:r>
            <w:r>
              <w:rPr>
                <w:rFonts w:hint="eastAsia" w:ascii="Times New Roman" w:hAnsi="Times New Roman" w:eastAsia="宋体" w:cs="Times New Roman"/>
                <w:color w:val="auto"/>
                <w:kern w:val="0"/>
                <w:sz w:val="22"/>
                <w:szCs w:val="22"/>
                <w:highlight w:val="none"/>
                <w:lang w:val="en-US" w:eastAsia="zh-CN" w:bidi="ar"/>
              </w:rPr>
              <w:t>管理</w:t>
            </w:r>
            <w:r>
              <w:rPr>
                <w:rFonts w:hint="default" w:ascii="Times New Roman" w:hAnsi="Times New Roman" w:eastAsia="宋体" w:cs="Times New Roman"/>
                <w:color w:val="auto"/>
                <w:kern w:val="0"/>
                <w:sz w:val="22"/>
                <w:szCs w:val="22"/>
                <w:highlight w:val="none"/>
                <w:lang w:val="en-US" w:eastAsia="zh-CN" w:bidi="ar"/>
              </w:rPr>
              <w:t>、人员、设备设施</w:t>
            </w:r>
            <w:r>
              <w:rPr>
                <w:rFonts w:hint="default" w:ascii="Times New Roman" w:hAnsi="Times New Roman" w:eastAsia="宋体" w:cs="Times New Roman"/>
                <w:color w:val="auto"/>
                <w:kern w:val="0"/>
                <w:sz w:val="22"/>
                <w:szCs w:val="22"/>
                <w:lang w:val="en-US" w:eastAsia="zh-CN" w:bidi="ar"/>
              </w:rPr>
              <w:t>和活动，</w:t>
            </w:r>
            <w:r>
              <w:rPr>
                <w:rFonts w:hint="eastAsia" w:ascii="Times New Roman" w:hAnsi="Times New Roman" w:eastAsia="宋体" w:cs="Times New Roman"/>
                <w:color w:val="auto"/>
                <w:kern w:val="0"/>
                <w:sz w:val="22"/>
                <w:szCs w:val="22"/>
                <w:lang w:val="en-US" w:eastAsia="zh-CN" w:bidi="ar"/>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生产经营单位应当建立事故隐患</w:t>
            </w:r>
            <w:r>
              <w:rPr>
                <w:rFonts w:hint="default" w:ascii="Times New Roman" w:hAnsi="Times New Roman" w:eastAsia="宋体" w:cs="Times New Roman"/>
                <w:color w:val="240FEB"/>
                <w:kern w:val="0"/>
                <w:sz w:val="22"/>
                <w:szCs w:val="22"/>
                <w:lang w:val="en-US" w:eastAsia="zh-CN" w:bidi="ar"/>
              </w:rPr>
              <w:t>日排查、</w:t>
            </w:r>
            <w:r>
              <w:rPr>
                <w:rFonts w:hint="eastAsia" w:ascii="Times New Roman" w:hAnsi="Times New Roman" w:eastAsia="宋体" w:cs="Times New Roman"/>
                <w:color w:val="240FEB"/>
                <w:kern w:val="0"/>
                <w:sz w:val="22"/>
                <w:szCs w:val="22"/>
                <w:lang w:val="en-US" w:eastAsia="zh-CN" w:bidi="ar"/>
              </w:rPr>
              <w:t>周</w:t>
            </w:r>
            <w:r>
              <w:rPr>
                <w:rFonts w:hint="default" w:ascii="Times New Roman" w:hAnsi="Times New Roman" w:eastAsia="宋体" w:cs="Times New Roman"/>
                <w:color w:val="240FEB"/>
                <w:kern w:val="0"/>
                <w:sz w:val="22"/>
                <w:szCs w:val="22"/>
                <w:lang w:val="en-US" w:eastAsia="zh-CN" w:bidi="ar"/>
              </w:rPr>
              <w:t>排查和</w:t>
            </w:r>
            <w:r>
              <w:rPr>
                <w:rFonts w:hint="eastAsia" w:ascii="Times New Roman" w:hAnsi="Times New Roman" w:eastAsia="宋体" w:cs="Times New Roman"/>
                <w:color w:val="240FEB"/>
                <w:kern w:val="0"/>
                <w:sz w:val="22"/>
                <w:szCs w:val="22"/>
                <w:lang w:val="en-US" w:eastAsia="zh-CN" w:bidi="ar"/>
              </w:rPr>
              <w:t>月度排查，</w:t>
            </w:r>
            <w:r>
              <w:rPr>
                <w:rFonts w:hint="default" w:ascii="Times New Roman" w:hAnsi="Times New Roman" w:eastAsia="宋体" w:cs="Times New Roman"/>
                <w:color w:val="auto"/>
                <w:kern w:val="0"/>
                <w:sz w:val="22"/>
                <w:szCs w:val="22"/>
                <w:lang w:val="en-US" w:eastAsia="zh-CN" w:bidi="ar"/>
              </w:rPr>
              <w:t>并根据政府及有关管理部门安全工作的专项部署、季节性变化或安全生产条件变化情况进行</w:t>
            </w:r>
            <w:r>
              <w:rPr>
                <w:rFonts w:hint="default" w:ascii="Times New Roman" w:hAnsi="Times New Roman" w:eastAsia="宋体" w:cs="Times New Roman"/>
                <w:color w:val="240FEB"/>
                <w:kern w:val="0"/>
                <w:sz w:val="22"/>
                <w:szCs w:val="22"/>
                <w:lang w:val="en-US" w:eastAsia="zh-CN" w:bidi="ar"/>
              </w:rPr>
              <w:t>专项排查</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依据《安全生产事故隐患排查治理暂行规定》要求，组织制定各部门、岗位、场所、设备设施的隐患排查治理标准或排查清单，明确隐患排查的时限、范围、内容和要求，并组织开展相应的培训。隐患排查的范围应包括所有与生产经营相关的场所、人员、设备设施和活动，包括承包商和供应商等相关服务范围</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2"/>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w:t>
            </w:r>
            <w:r>
              <w:rPr>
                <w:rFonts w:hint="eastAsia" w:ascii="Times New Roman" w:hAnsi="Times New Roman" w:eastAsia="宋体" w:cs="Times New Roman"/>
                <w:color w:val="auto"/>
                <w:kern w:val="0"/>
                <w:sz w:val="22"/>
                <w:szCs w:val="22"/>
                <w:lang w:val="en-US" w:eastAsia="zh-CN" w:bidi="ar"/>
              </w:rPr>
              <w:t>按照</w:t>
            </w:r>
            <w:r>
              <w:rPr>
                <w:rFonts w:hint="default" w:ascii="Times New Roman" w:hAnsi="Times New Roman" w:eastAsia="宋体" w:cs="Times New Roman"/>
                <w:color w:val="auto"/>
                <w:kern w:val="0"/>
                <w:sz w:val="22"/>
                <w:szCs w:val="22"/>
                <w:lang w:val="en-US" w:eastAsia="zh-CN" w:bidi="ar"/>
              </w:rPr>
              <w:t>隐患排查</w:t>
            </w:r>
            <w:r>
              <w:rPr>
                <w:rFonts w:hint="eastAsia" w:ascii="Times New Roman" w:hAnsi="Times New Roman" w:eastAsia="宋体" w:cs="Times New Roman"/>
                <w:color w:val="auto"/>
                <w:kern w:val="0"/>
                <w:sz w:val="22"/>
                <w:szCs w:val="22"/>
                <w:lang w:val="en-US" w:eastAsia="zh-CN" w:bidi="ar"/>
              </w:rPr>
              <w:t>计划</w:t>
            </w:r>
            <w:r>
              <w:rPr>
                <w:rFonts w:hint="default" w:ascii="Times New Roman" w:hAnsi="Times New Roman" w:eastAsia="宋体" w:cs="Times New Roman"/>
                <w:color w:val="auto"/>
                <w:kern w:val="0"/>
                <w:sz w:val="22"/>
                <w:szCs w:val="22"/>
                <w:lang w:val="en-US" w:eastAsia="zh-CN" w:bidi="ar"/>
              </w:rPr>
              <w:t>开展事故隐患日排查、</w:t>
            </w:r>
            <w:r>
              <w:rPr>
                <w:rFonts w:hint="eastAsia" w:ascii="Times New Roman" w:hAnsi="Times New Roman" w:eastAsia="宋体" w:cs="Times New Roman"/>
                <w:color w:val="auto"/>
                <w:kern w:val="0"/>
                <w:sz w:val="22"/>
                <w:szCs w:val="22"/>
                <w:lang w:val="en-US" w:eastAsia="zh-CN" w:bidi="ar"/>
              </w:rPr>
              <w:t>周</w:t>
            </w:r>
            <w:r>
              <w:rPr>
                <w:rFonts w:hint="default" w:ascii="Times New Roman" w:hAnsi="Times New Roman" w:eastAsia="宋体" w:cs="Times New Roman"/>
                <w:color w:val="auto"/>
                <w:kern w:val="0"/>
                <w:sz w:val="22"/>
                <w:szCs w:val="22"/>
                <w:lang w:val="en-US" w:eastAsia="zh-CN" w:bidi="ar"/>
              </w:rPr>
              <w:t>排查和</w:t>
            </w:r>
            <w:r>
              <w:rPr>
                <w:rFonts w:hint="eastAsia" w:ascii="Times New Roman" w:hAnsi="Times New Roman" w:eastAsia="宋体" w:cs="Times New Roman"/>
                <w:color w:val="auto"/>
                <w:kern w:val="0"/>
                <w:sz w:val="22"/>
                <w:szCs w:val="22"/>
                <w:lang w:val="en-US" w:eastAsia="zh-CN" w:bidi="ar"/>
              </w:rPr>
              <w:t>月度排查；不符合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22"/>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未根据政府及有关管理部门安全工作的专项部署、季节性变化或安全生产条件变化情况进行专项排查的记录，</w:t>
            </w:r>
            <w:r>
              <w:rPr>
                <w:rFonts w:hint="eastAsia" w:ascii="Times New Roman" w:hAnsi="Times New Roman" w:eastAsia="宋体" w:cs="Times New Roman"/>
                <w:color w:val="auto"/>
                <w:kern w:val="0"/>
                <w:sz w:val="22"/>
                <w:szCs w:val="22"/>
                <w:lang w:val="en-US" w:eastAsia="zh-CN" w:bidi="ar"/>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4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④</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highlight w:val="none"/>
                <w:lang w:val="en-US" w:eastAsia="zh-CN" w:bidi="ar"/>
              </w:rPr>
              <w:t>企业应填写事故隐患排查记录，依据确定的隐患等级划分标准对发现或排查出的事故隐患进行判定，确定事故隐患等级并进行登记，形成事故隐患清单。企业应将重大事故隐患向属地负有安全生产监督管理职责的交通运输管理部门备案</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《安全生产法》第三十八条 生产经营单位应当建立健全生产安全事故隐患排查治理制度，采取技术、管理措施，及时发现并消除事故隐患</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highlight w:val="none"/>
                <w:lang w:val="en-US" w:eastAsia="zh-CN" w:bidi="ar-SA"/>
              </w:rPr>
            </w:pPr>
            <w:r>
              <w:rPr>
                <w:rFonts w:hint="default" w:ascii="Times New Roman" w:hAnsi="Times New Roman" w:eastAsia="宋体" w:cs="Times New Roman"/>
                <w:color w:val="FF0000"/>
                <w:kern w:val="0"/>
                <w:sz w:val="22"/>
                <w:szCs w:val="22"/>
                <w:highlight w:val="none"/>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3"/>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default" w:ascii="Times New Roman" w:hAnsi="Times New Roman" w:eastAsia="宋体" w:cs="Times New Roman"/>
                <w:color w:val="auto"/>
                <w:kern w:val="0"/>
                <w:sz w:val="22"/>
                <w:szCs w:val="22"/>
                <w:highlight w:val="none"/>
                <w:lang w:val="en-US" w:eastAsia="zh-CN" w:bidi="ar"/>
              </w:rPr>
              <w:t>未确定事故隐患等级并进行 登记，形成事故隐患清单，</w:t>
            </w:r>
            <w:r>
              <w:rPr>
                <w:rFonts w:hint="eastAsia" w:ascii="Times New Roman" w:hAnsi="Times New Roman" w:eastAsia="宋体" w:cs="Times New Roman"/>
                <w:color w:val="auto"/>
                <w:kern w:val="0"/>
                <w:sz w:val="22"/>
                <w:szCs w:val="22"/>
                <w:highlight w:val="none"/>
                <w:lang w:val="en-US" w:eastAsia="zh-CN" w:bidi="ar"/>
              </w:rPr>
              <w:t>不符合</w:t>
            </w:r>
            <w:r>
              <w:rPr>
                <w:rFonts w:hint="default" w:ascii="Times New Roman" w:hAnsi="Times New Roman" w:eastAsia="宋体" w:cs="Times New Roman"/>
                <w:color w:val="auto"/>
                <w:kern w:val="0"/>
                <w:sz w:val="22"/>
                <w:szCs w:val="22"/>
                <w:highlight w:val="none"/>
                <w:lang w:val="en-US" w:eastAsia="zh-CN" w:bidi="ar"/>
              </w:rPr>
              <w:t>；</w:t>
            </w:r>
          </w:p>
          <w:p>
            <w:pPr>
              <w:keepNext w:val="0"/>
              <w:keepLines w:val="0"/>
              <w:pageBreakBefore w:val="0"/>
              <w:widowControl/>
              <w:numPr>
                <w:ilvl w:val="0"/>
                <w:numId w:val="23"/>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未明确隐患等级的，不符合。</w:t>
            </w:r>
          </w:p>
          <w:p>
            <w:pPr>
              <w:keepNext w:val="0"/>
              <w:keepLines w:val="0"/>
              <w:pageBreakBefore w:val="0"/>
              <w:widowControl/>
              <w:numPr>
                <w:ilvl w:val="0"/>
                <w:numId w:val="23"/>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lang w:val="en-US"/>
              </w:rPr>
            </w:pPr>
            <w:r>
              <w:rPr>
                <w:rFonts w:hint="default" w:ascii="Times New Roman" w:hAnsi="Times New Roman" w:eastAsia="宋体" w:cs="Times New Roman"/>
                <w:color w:val="auto"/>
                <w:kern w:val="0"/>
                <w:sz w:val="22"/>
                <w:szCs w:val="22"/>
                <w:highlight w:val="none"/>
                <w:lang w:val="en-US" w:eastAsia="zh-CN" w:bidi="ar"/>
              </w:rPr>
              <w:t>无重大事故隐患向属地负有安全生产监督管理职责的交通运输管理部门备案记录</w:t>
            </w:r>
            <w:r>
              <w:rPr>
                <w:rFonts w:hint="eastAsia" w:ascii="Times New Roman" w:hAnsi="Times New Roman" w:eastAsia="宋体" w:cs="Times New Roman"/>
                <w:color w:val="auto"/>
                <w:kern w:val="0"/>
                <w:sz w:val="22"/>
                <w:szCs w:val="22"/>
                <w:highlight w:val="none"/>
                <w:lang w:val="en-US" w:eastAsia="zh-CN" w:bidi="ar"/>
              </w:rPr>
              <w:t>，不符合</w:t>
            </w:r>
            <w:r>
              <w:rPr>
                <w:rFonts w:hint="default" w:ascii="Times New Roman" w:hAnsi="Times New Roman" w:eastAsia="宋体" w:cs="Times New Roman"/>
                <w:color w:val="auto"/>
                <w:kern w:val="0"/>
                <w:sz w:val="22"/>
                <w:szCs w:val="22"/>
                <w:highlight w:val="none"/>
                <w:lang w:val="en-US" w:eastAsia="zh-CN" w:bidi="ar"/>
              </w:rPr>
              <w:t>。</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11.2 隐患治理</w:t>
            </w:r>
            <w:r>
              <w:rPr>
                <w:rFonts w:hint="eastAsia" w:ascii="Times New Roman" w:hAnsi="Times New Roman" w:eastAsia="宋体" w:cs="Times New Roman"/>
                <w:color w:val="auto"/>
                <w:kern w:val="0"/>
                <w:sz w:val="22"/>
                <w:szCs w:val="22"/>
                <w:lang w:val="en-US" w:eastAsia="zh-CN" w:bidi="ar"/>
              </w:rPr>
              <w:t>（3</w:t>
            </w:r>
            <w:r>
              <w:rPr>
                <w:rFonts w:hint="default" w:ascii="Times New Roman" w:hAnsi="Times New Roman" w:eastAsia="宋体" w:cs="Times New Roman"/>
                <w:color w:val="auto"/>
                <w:kern w:val="0"/>
                <w:sz w:val="22"/>
                <w:szCs w:val="22"/>
                <w:lang w:val="en-US" w:eastAsia="zh-CN" w:bidi="ar"/>
              </w:rPr>
              <w:t>0分</w:t>
            </w:r>
            <w:r>
              <w:rPr>
                <w:rFonts w:hint="eastAsia" w:ascii="Times New Roman" w:hAnsi="Times New Roman" w:eastAsia="宋体" w:cs="Times New Roman"/>
                <w:color w:val="auto"/>
                <w:kern w:val="0"/>
                <w:sz w:val="22"/>
                <w:szCs w:val="22"/>
                <w:lang w:val="en-US" w:eastAsia="zh-CN" w:bidi="ar"/>
              </w:rPr>
              <w:t>）</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对于一般事故隐患，企业应按照职责分工立即组织整改，确保及时治理</w:t>
            </w:r>
            <w:r>
              <w:rPr>
                <w:rFonts w:hint="eastAsia" w:ascii="Times New Roman" w:hAnsi="Times New Roman" w:eastAsia="宋体" w:cs="Times New Roman"/>
                <w:color w:val="auto"/>
                <w:kern w:val="0"/>
                <w:sz w:val="22"/>
                <w:szCs w:val="22"/>
                <w:lang w:val="en-US" w:eastAsia="zh-CN" w:bidi="ar"/>
              </w:rPr>
              <w:t>，并验收合格。</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《安全生产法》》第三十八条生产经营单位应当建立健全生产安全事故隐患排查治理制度，采取技术、管理措施，及时发现并消除事故隐患</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4"/>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企业未保留相关文件资料及活动记录，</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24"/>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未及时组织隐患治理或整改不到位，</w:t>
            </w:r>
            <w:r>
              <w:rPr>
                <w:rFonts w:hint="eastAsia" w:ascii="Times New Roman" w:hAnsi="Times New Roman" w:eastAsia="宋体" w:cs="Times New Roman"/>
                <w:color w:val="auto"/>
                <w:kern w:val="0"/>
                <w:sz w:val="22"/>
                <w:szCs w:val="22"/>
                <w:lang w:val="en-US" w:eastAsia="zh-CN" w:bidi="ar"/>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对于重大事故隐患，企业主要负责人组织制定专项隐患治理整改方案，并确保整改措施、责任、资金、时限和预案“五到位”。整改方案应包括： a.整改的目标和任务； b.整改方案和整改期的安全保障措施； c.经费和物资保障措施； d.整改责任部门和人员； e.整改时限及节点要求； f.应急处置措施； g.跟踪督办及验收部门和人员</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事故隐患排查治理暂行规定》(国家安全生产监督管理总局令第16号)企业应当按照国家有关规定将本单位重大危险源及有关安全措施、应急措施，报负有安全生产监督管理的部门和有关部门备案，落实“五到位”：落实整改措施、责任、资金、时限和预案</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5"/>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未组织制定</w:t>
            </w:r>
            <w:r>
              <w:rPr>
                <w:rFonts w:hint="eastAsia" w:ascii="Times New Roman" w:hAnsi="Times New Roman" w:eastAsia="宋体" w:cs="Times New Roman"/>
                <w:color w:val="auto"/>
                <w:kern w:val="0"/>
                <w:sz w:val="22"/>
                <w:szCs w:val="22"/>
                <w:lang w:val="en-US" w:eastAsia="zh-CN" w:bidi="ar"/>
              </w:rPr>
              <w:t>重大隐患</w:t>
            </w:r>
            <w:r>
              <w:rPr>
                <w:rFonts w:hint="default" w:ascii="Times New Roman" w:hAnsi="Times New Roman" w:eastAsia="宋体" w:cs="Times New Roman"/>
                <w:color w:val="auto"/>
                <w:kern w:val="0"/>
                <w:sz w:val="22"/>
                <w:szCs w:val="22"/>
                <w:lang w:val="en-US" w:eastAsia="zh-CN" w:bidi="ar"/>
              </w:rPr>
              <w:t>专项治理方案，</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25"/>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整改专项方案</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未按相关</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要求</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编制的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无“五到位”的记录和证据</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事故隐患整改完成后，企业应按规定进行验证或组织验收，出具整改验收结论，并签字确认。重大事故隐患整改验收通过的，企业应将验收结论向属地负有安全生产监督管理职责的交通运输管理部门报备，并申请销号</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安全生产法》》第三十八条生产经营单位应当建立健全生产安全事故隐患排查治理制度，采取技术、管理措施，及时发现并消除事故隐患</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Hans"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不满足一下要求的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该项结论为“不符合”</w:t>
            </w:r>
          </w:p>
          <w:p>
            <w:pPr>
              <w:keepNext w:val="0"/>
              <w:keepLines w:val="0"/>
              <w:pageBreakBefore w:val="0"/>
              <w:widowControl/>
              <w:numPr>
                <w:ilvl w:val="0"/>
                <w:numId w:val="26"/>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一般隐患整改完成后，生产经营单位应组织验收；</w:t>
            </w:r>
          </w:p>
          <w:p>
            <w:pPr>
              <w:keepNext w:val="0"/>
              <w:keepLines w:val="0"/>
              <w:pageBreakBefore w:val="0"/>
              <w:widowControl/>
              <w:numPr>
                <w:ilvl w:val="0"/>
                <w:numId w:val="26"/>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应有整改验收结论记录；</w:t>
            </w:r>
          </w:p>
          <w:p>
            <w:pPr>
              <w:keepNext w:val="0"/>
              <w:keepLines w:val="0"/>
              <w:pageBreakBefore w:val="0"/>
              <w:widowControl/>
              <w:numPr>
                <w:ilvl w:val="0"/>
                <w:numId w:val="26"/>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验收主要负责人应签字确认；</w:t>
            </w:r>
          </w:p>
          <w:p>
            <w:pPr>
              <w:keepNext w:val="0"/>
              <w:keepLines w:val="0"/>
              <w:pageBreakBefore w:val="0"/>
              <w:widowControl/>
              <w:numPr>
                <w:ilvl w:val="0"/>
                <w:numId w:val="26"/>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重大事故隐患整改验收通过的，企业应将验收结论向属地负有安全生产监督管理职责的交通运输管理部门报备资料；</w:t>
            </w:r>
          </w:p>
          <w:p>
            <w:pPr>
              <w:keepNext w:val="0"/>
              <w:keepLines w:val="0"/>
              <w:pageBreakBefore w:val="0"/>
              <w:widowControl/>
              <w:numPr>
                <w:ilvl w:val="0"/>
                <w:numId w:val="26"/>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应有销号申请记录；</w:t>
            </w:r>
          </w:p>
          <w:p>
            <w:pPr>
              <w:keepNext w:val="0"/>
              <w:keepLines w:val="0"/>
              <w:pageBreakBefore w:val="0"/>
              <w:widowControl/>
              <w:numPr>
                <w:ilvl w:val="0"/>
                <w:numId w:val="26"/>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报备申请材料应包括：重大隐患基本情况及整改方案；重大隐患整改过程；验收机构或验收组基本情况；验收报告及结论</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十二、</w:t>
            </w:r>
            <w:r>
              <w:rPr>
                <w:rFonts w:hint="default" w:ascii="Times New Roman" w:hAnsi="Times New Roman" w:eastAsia="宋体" w:cs="Times New Roman"/>
                <w:color w:val="auto"/>
                <w:kern w:val="0"/>
                <w:sz w:val="22"/>
                <w:szCs w:val="22"/>
                <w:lang w:val="en-US" w:eastAsia="zh-CN" w:bidi="ar"/>
              </w:rPr>
              <w:t xml:space="preserve"> 职业健康</w:t>
            </w:r>
            <w:r>
              <w:rPr>
                <w:rFonts w:hint="eastAsia" w:ascii="Times New Roman" w:hAnsi="Times New Roman" w:eastAsia="宋体" w:cs="Times New Roman"/>
                <w:color w:val="auto"/>
                <w:kern w:val="0"/>
                <w:sz w:val="22"/>
                <w:szCs w:val="22"/>
                <w:lang w:val="en-US" w:eastAsia="zh-CN" w:bidi="ar"/>
              </w:rPr>
              <w:t>35</w:t>
            </w:r>
            <w:r>
              <w:rPr>
                <w:rFonts w:hint="default" w:ascii="Times New Roman" w:hAnsi="Times New Roman" w:eastAsia="宋体" w:cs="Times New Roman"/>
                <w:color w:val="auto"/>
                <w:kern w:val="0"/>
                <w:sz w:val="22"/>
                <w:szCs w:val="22"/>
                <w:lang w:val="en-US" w:eastAsia="zh-CN" w:bidi="ar"/>
              </w:rPr>
              <w:t>分</w:t>
            </w:r>
          </w:p>
        </w:tc>
        <w:tc>
          <w:tcPr>
            <w:tcW w:w="65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 xml:space="preserve">12.1 职业健康管理 </w:t>
            </w:r>
            <w:r>
              <w:rPr>
                <w:rFonts w:hint="eastAsia" w:ascii="Times New Roman" w:hAnsi="Times New Roman" w:eastAsia="宋体" w:cs="Times New Roman"/>
                <w:color w:val="auto"/>
                <w:kern w:val="0"/>
                <w:sz w:val="22"/>
                <w:szCs w:val="22"/>
                <w:lang w:val="en-US" w:eastAsia="zh-CN" w:bidi="ar"/>
              </w:rPr>
              <w:t>（15</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eastAsia" w:asciiTheme="minorEastAsia" w:hAnsiTheme="minorEastAsia" w:cstheme="minorEastAsia"/>
                <w:sz w:val="22"/>
                <w:szCs w:val="22"/>
                <w:shd w:val="clear" w:color="auto" w:fill="FFFFFF"/>
                <w:lang w:val="en-US" w:eastAsia="zh-CN"/>
              </w:rPr>
              <w:t>企业应</w:t>
            </w:r>
            <w:r>
              <w:rPr>
                <w:rFonts w:hint="eastAsia" w:asciiTheme="minorEastAsia" w:hAnsiTheme="minorEastAsia" w:eastAsiaTheme="minorEastAsia" w:cstheme="minorEastAsia"/>
                <w:sz w:val="22"/>
                <w:szCs w:val="22"/>
                <w:shd w:val="clear" w:color="auto" w:fill="FFFFFF"/>
              </w:rPr>
              <w:t>组织上岗前、在岗期间和离岗时的职业健康检查，并将检查结果书面告知劳动者。</w:t>
            </w:r>
            <w:r>
              <w:rPr>
                <w:rFonts w:hint="eastAsia" w:asciiTheme="minorEastAsia" w:hAnsiTheme="minorEastAsia" w:eastAsiaTheme="minorEastAsia" w:cstheme="minorEastAsia"/>
                <w:sz w:val="22"/>
                <w:szCs w:val="22"/>
              </w:rPr>
              <w:t>建立、健全企业职业卫生档案和从业人员健康监护档案</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heme="minorEastAsia" w:hAnsiTheme="minorEastAsia" w:eastAsiaTheme="minorEastAsia" w:cstheme="minorEastAsia"/>
                <w:sz w:val="22"/>
                <w:szCs w:val="22"/>
                <w:shd w:val="clear" w:color="auto" w:fill="FFFFFF"/>
                <w:lang w:val="en-US" w:eastAsia="zh-CN"/>
              </w:rPr>
            </w:pPr>
            <w:r>
              <w:rPr>
                <w:rFonts w:hint="default" w:asciiTheme="minorEastAsia" w:hAnsiTheme="minorEastAsia" w:eastAsiaTheme="minorEastAsia" w:cstheme="minorEastAsia"/>
                <w:sz w:val="22"/>
                <w:szCs w:val="22"/>
                <w:shd w:val="clear" w:color="auto" w:fill="FFFFFF"/>
                <w:lang w:val="en-US" w:eastAsia="zh-CN"/>
              </w:rPr>
              <w:t>《中华人民共和国职业病防治法》第三十六条规定：对从事接触职业病危害的作业的劳动者，用人单位应当按照国务院安全生产监督管理部门、卫生行政部门的规定组织上岗前、在岗期间和离岗时的职业健康检查，并将检查结果书面告知劳动者。职业健康检查费用由用人单位承担</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2"/>
                <w:sz w:val="22"/>
                <w:szCs w:val="22"/>
                <w:lang w:val="en-US" w:eastAsia="zh-CN" w:bidi="ar-SA"/>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0070C0"/>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7"/>
              </w:numPr>
              <w:suppressLineNumbers w:val="0"/>
              <w:kinsoku/>
              <w:wordWrap/>
              <w:overflowPunct/>
              <w:topLinePunct w:val="0"/>
              <w:autoSpaceDE/>
              <w:autoSpaceDN/>
              <w:bidi w:val="0"/>
              <w:adjustRightInd/>
              <w:snapToGrid/>
              <w:spacing w:line="280" w:lineRule="exact"/>
              <w:jc w:val="left"/>
              <w:rPr>
                <w:rFonts w:hint="eastAsia" w:asciiTheme="minorEastAsia" w:hAnsiTheme="minorEastAsia" w:cstheme="minorEastAsia"/>
                <w:sz w:val="22"/>
                <w:szCs w:val="22"/>
                <w:lang w:val="en-US" w:eastAsia="zh-CN"/>
              </w:rPr>
            </w:pPr>
            <w:r>
              <w:rPr>
                <w:rFonts w:hint="eastAsia" w:asciiTheme="minorEastAsia" w:hAnsiTheme="minorEastAsia" w:eastAsiaTheme="minorEastAsia" w:cstheme="minorEastAsia"/>
                <w:sz w:val="22"/>
                <w:szCs w:val="22"/>
              </w:rPr>
              <w:t>未经岗前职业健康检查人员上岗</w:t>
            </w:r>
            <w:r>
              <w:rPr>
                <w:rFonts w:hint="eastAsia" w:asciiTheme="minorEastAsia" w:hAnsiTheme="minorEastAsia" w:cstheme="minorEastAsia"/>
                <w:sz w:val="22"/>
                <w:szCs w:val="22"/>
                <w:lang w:eastAsia="zh-CN"/>
              </w:rPr>
              <w:t>，</w:t>
            </w:r>
            <w:r>
              <w:rPr>
                <w:rFonts w:hint="eastAsia" w:asciiTheme="minorEastAsia" w:hAnsiTheme="minorEastAsia" w:cstheme="minorEastAsia"/>
                <w:sz w:val="22"/>
                <w:szCs w:val="22"/>
                <w:lang w:val="en-US" w:eastAsia="zh-CN"/>
              </w:rPr>
              <w:t>不符合；</w:t>
            </w:r>
          </w:p>
          <w:p>
            <w:pPr>
              <w:keepNext w:val="0"/>
              <w:keepLines w:val="0"/>
              <w:pageBreakBefore w:val="0"/>
              <w:widowControl/>
              <w:numPr>
                <w:ilvl w:val="0"/>
                <w:numId w:val="27"/>
              </w:numPr>
              <w:suppressLineNumbers w:val="0"/>
              <w:kinsoku/>
              <w:wordWrap/>
              <w:overflowPunct/>
              <w:topLinePunct w:val="0"/>
              <w:autoSpaceDE/>
              <w:autoSpaceDN/>
              <w:bidi w:val="0"/>
              <w:adjustRightInd/>
              <w:snapToGrid/>
              <w:spacing w:line="280" w:lineRule="exact"/>
              <w:jc w:val="left"/>
              <w:rPr>
                <w:rFonts w:hint="default" w:ascii="Times New Roman" w:hAnsi="Times New Roman" w:cs="Times New Roman" w:eastAsiaTheme="minorEastAsia"/>
                <w:color w:val="auto"/>
                <w:kern w:val="2"/>
                <w:sz w:val="22"/>
                <w:szCs w:val="22"/>
                <w:lang w:val="en-US" w:eastAsia="zh-CN" w:bidi="ar-SA"/>
              </w:rPr>
            </w:pPr>
            <w:r>
              <w:rPr>
                <w:rFonts w:hint="eastAsia" w:asciiTheme="minorEastAsia" w:hAnsiTheme="minorEastAsia" w:eastAsiaTheme="minorEastAsia" w:cstheme="minorEastAsia"/>
                <w:sz w:val="22"/>
                <w:szCs w:val="22"/>
              </w:rPr>
              <w:t>存在职业病危害的岗位，未建立从业人员健康监护档案的</w:t>
            </w:r>
            <w:r>
              <w:rPr>
                <w:rFonts w:hint="eastAsia" w:asciiTheme="minorEastAsia" w:hAnsiTheme="minorEastAsia" w:cstheme="minorEastAsia"/>
                <w:sz w:val="22"/>
                <w:szCs w:val="22"/>
                <w:lang w:eastAsia="zh-CN"/>
              </w:rPr>
              <w:t>，</w:t>
            </w:r>
            <w:r>
              <w:rPr>
                <w:rFonts w:hint="eastAsia" w:asciiTheme="minorEastAsia" w:hAnsiTheme="minorEastAsia" w:cstheme="minorEastAsia"/>
                <w:sz w:val="22"/>
                <w:szCs w:val="22"/>
                <w:lang w:val="en-US" w:eastAsia="zh-CN"/>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heme="minorEastAsia" w:hAnsiTheme="minorEastAsia" w:eastAsiaTheme="minorEastAsia" w:cstheme="minorEastAsia"/>
                <w:sz w:val="22"/>
                <w:szCs w:val="22"/>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heme="minorEastAsia" w:hAnsiTheme="minorEastAsia" w:eastAsiaTheme="minorEastAsia" w:cstheme="minorEastAsia"/>
                <w:sz w:val="22"/>
                <w:szCs w:val="22"/>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不得安排有职业禁忌的从业人员从事禁忌作业</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heme="minorEastAsia" w:hAnsiTheme="minorEastAsia" w:eastAsiaTheme="minorEastAsia" w:cstheme="minorEastAsia"/>
                <w:sz w:val="22"/>
                <w:szCs w:val="22"/>
                <w:shd w:val="clear" w:color="auto" w:fill="FFFFFF"/>
                <w:lang w:val="en-US" w:eastAsia="zh-CN"/>
              </w:rPr>
            </w:pPr>
            <w:r>
              <w:rPr>
                <w:rFonts w:hint="default" w:asciiTheme="minorEastAsia" w:hAnsiTheme="minorEastAsia" w:eastAsiaTheme="minorEastAsia" w:cstheme="minorEastAsia"/>
                <w:sz w:val="22"/>
                <w:szCs w:val="22"/>
                <w:shd w:val="clear" w:color="auto" w:fill="FFFFFF"/>
                <w:lang w:val="en-US" w:eastAsia="zh-CN"/>
              </w:rPr>
              <w:t>《中华人民共和国职业病防治法》第三十六条规定：用人单位不得安排未经上岗前职业健康检查的劳动者从事接触职业病危害的作业；不得安排有职业禁忌的劳动者从事其所禁忌的作业；对在职业健康检查中发现有与所从事的职业相关的健康损害的劳动者，应当调离原工作岗位，并妥善安置；对未进行离岗前职业健康检查的劳动者不得解除或者终止与其订立的劳动合同</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有职业禁忌的从业人员从事禁忌作业，</w:t>
            </w:r>
            <w:r>
              <w:rPr>
                <w:rFonts w:hint="eastAsia" w:ascii="Times New Roman" w:hAnsi="Times New Roman" w:eastAsia="宋体" w:cs="Times New Roman"/>
                <w:color w:val="auto"/>
                <w:kern w:val="0"/>
                <w:sz w:val="22"/>
                <w:szCs w:val="22"/>
                <w:lang w:val="en-US" w:eastAsia="zh-CN" w:bidi="ar"/>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12.2 工伤保险</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5</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分</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企业应当在生产经营所在地依法参加工伤保险，为本单位从业人员缴纳工伤保险费</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heme="minorEastAsia" w:hAnsiTheme="minorEastAsia" w:eastAsiaTheme="minorEastAsia" w:cstheme="minorEastAsia"/>
                <w:sz w:val="22"/>
                <w:szCs w:val="22"/>
                <w:shd w:val="clear" w:color="auto" w:fill="FFFFFF"/>
                <w:lang w:val="en-US" w:eastAsia="zh-CN"/>
              </w:rPr>
            </w:pPr>
            <w:r>
              <w:rPr>
                <w:rFonts w:hint="default" w:asciiTheme="minorEastAsia" w:hAnsiTheme="minorEastAsia" w:eastAsiaTheme="minorEastAsia" w:cstheme="minorEastAsia"/>
                <w:sz w:val="22"/>
                <w:szCs w:val="22"/>
                <w:shd w:val="clear" w:color="auto" w:fill="FFFFFF"/>
                <w:lang w:val="en-US" w:eastAsia="zh-CN"/>
              </w:rPr>
              <w:t>工伤保险是社会保险制度中的重要组成部分。是指国家和社会为在生产、工作中遭受事故伤害和患职业性疾病的劳动及亲属提供医疗救治、生活保障、经济补偿、医疗和职业康复等物质帮助的一种社会保障制度。《中华人民共和国职业病防治法》第七条规定：用人单位必须依法参加工伤保险</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5</w:t>
            </w:r>
            <w:r>
              <w:rPr>
                <w:rFonts w:hint="default" w:ascii="Times New Roman" w:hAnsi="Times New Roman" w:eastAsia="宋体" w:cs="Times New Roman"/>
                <w:color w:val="0070C0"/>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w:t>
            </w:r>
            <w:r>
              <w:rPr>
                <w:rFonts w:hint="eastAsia" w:ascii="Times New Roman" w:hAnsi="Times New Roman" w:eastAsia="宋体" w:cs="Times New Roman"/>
                <w:color w:val="auto"/>
                <w:kern w:val="0"/>
                <w:sz w:val="22"/>
                <w:szCs w:val="22"/>
                <w:lang w:val="en-US" w:eastAsia="zh-CN" w:bidi="ar"/>
              </w:rPr>
              <w:t>对</w:t>
            </w:r>
            <w:r>
              <w:rPr>
                <w:rFonts w:hint="default" w:ascii="Times New Roman" w:hAnsi="Times New Roman" w:eastAsia="宋体" w:cs="Times New Roman"/>
                <w:color w:val="auto"/>
                <w:kern w:val="0"/>
                <w:sz w:val="22"/>
                <w:szCs w:val="22"/>
                <w:lang w:val="en-US" w:eastAsia="zh-CN" w:bidi="ar"/>
              </w:rPr>
              <w:t>从业人员缴纳工伤保险的，</w:t>
            </w:r>
            <w:r>
              <w:rPr>
                <w:rFonts w:hint="eastAsia" w:ascii="Times New Roman" w:hAnsi="Times New Roman" w:eastAsia="宋体" w:cs="Times New Roman"/>
                <w:color w:val="auto"/>
                <w:kern w:val="0"/>
                <w:sz w:val="22"/>
                <w:szCs w:val="22"/>
                <w:lang w:val="en-US" w:eastAsia="zh-CN" w:bidi="ar"/>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 xml:space="preserve">12.3 职业危害告知 </w:t>
            </w:r>
            <w:r>
              <w:rPr>
                <w:rFonts w:hint="eastAsia" w:ascii="Times New Roman" w:hAnsi="Times New Roman" w:eastAsia="宋体" w:cs="Times New Roman"/>
                <w:color w:val="auto"/>
                <w:kern w:val="0"/>
                <w:sz w:val="22"/>
                <w:szCs w:val="22"/>
                <w:lang w:val="en-US" w:eastAsia="zh-CN" w:bidi="ar"/>
              </w:rPr>
              <w:t>（15</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企业与从业人员订立劳动合同时，应将工作过程中可能产生的职业危害及其后果和防护措施等如实告知从业人员，并在劳动合同中写明。针对长期从事运输行业的司机和装卸作业人员加强职业健康病的防治工作</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heme="minorEastAsia" w:hAnsiTheme="minorEastAsia" w:eastAsiaTheme="minorEastAsia" w:cstheme="minorEastAsia"/>
                <w:sz w:val="22"/>
                <w:szCs w:val="22"/>
                <w:shd w:val="clear" w:color="auto" w:fill="FFFFFF"/>
                <w:lang w:val="en-US" w:eastAsia="zh-CN"/>
              </w:rPr>
            </w:pPr>
            <w:r>
              <w:rPr>
                <w:rFonts w:hint="default" w:asciiTheme="minorEastAsia" w:hAnsiTheme="minorEastAsia" w:eastAsiaTheme="minorEastAsia" w:cstheme="minorEastAsia"/>
                <w:sz w:val="22"/>
                <w:szCs w:val="22"/>
                <w:shd w:val="clear" w:color="auto" w:fill="FFFFFF"/>
                <w:lang w:val="en-US" w:eastAsia="zh-CN"/>
              </w:rPr>
              <w:t>中华人民共和国职业病防治法》第三十四条规定：用人单位与劳动者订立劳动合同(含聘用合同，下同)时，应当将工作过程中可能产生的职业病危害及其后果、职业病防护措施和待遇等如实告知劳动者，并在劳动合同中写明，不得隐瞒或者欺骗。劳动者在已订立劳动合同期间因工作岗位或者工作内容变更，从事与所订立劳动合同中未告知的存在职业病危害的作业时，用人单位应当依照前款规定，向劳动者履行如实告知的义务，并协商变更原劳动合同相关条款。用人单位违反前两款规定的，劳动者有权拒绝从事存在职业病危害的作业，用人单位不得因此解除与劳动者所订立的劳动合同</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firstLine="220" w:firstLineChars="100"/>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15</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firstLine="220" w:firstLineChars="100"/>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FF0000"/>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8"/>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存在职业病危害的岗位人员劳动合同中无职业危害告知记录的，</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28"/>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未对从业人员和相关方告知工作场所和岗位存在的职业危害、防护措施和应急措施的，</w:t>
            </w:r>
            <w:r>
              <w:rPr>
                <w:rFonts w:hint="eastAsia" w:ascii="Times New Roman" w:hAnsi="Times New Roman" w:eastAsia="宋体" w:cs="Times New Roman"/>
                <w:color w:val="auto"/>
                <w:kern w:val="0"/>
                <w:sz w:val="22"/>
                <w:szCs w:val="22"/>
                <w:lang w:val="en-US" w:eastAsia="zh-CN" w:bidi="ar"/>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十三、</w:t>
            </w:r>
            <w:r>
              <w:rPr>
                <w:rFonts w:hint="default" w:ascii="Times New Roman" w:hAnsi="Times New Roman" w:eastAsia="宋体" w:cs="Times New Roman"/>
                <w:color w:val="auto"/>
                <w:kern w:val="0"/>
                <w:sz w:val="22"/>
                <w:szCs w:val="22"/>
                <w:lang w:val="en-US" w:eastAsia="zh-CN" w:bidi="ar"/>
              </w:rPr>
              <w:t xml:space="preserve">安全文化 </w:t>
            </w: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0分</w:t>
            </w:r>
          </w:p>
        </w:tc>
        <w:tc>
          <w:tcPr>
            <w:tcW w:w="65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13.1 安全环境</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10分</w:t>
            </w:r>
            <w:r>
              <w:rPr>
                <w:rFonts w:hint="eastAsia" w:ascii="Times New Roman" w:hAnsi="Times New Roman" w:eastAsia="宋体" w:cs="Times New Roman"/>
                <w:color w:val="auto"/>
                <w:kern w:val="0"/>
                <w:sz w:val="22"/>
                <w:szCs w:val="22"/>
                <w:lang w:val="en-US" w:eastAsia="zh-CN" w:bidi="ar"/>
              </w:rPr>
              <w:t>）</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设立安全文化廊、安全角、黑板报、宣传栏等员工安全文化阵地</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heme="minorEastAsia" w:hAnsiTheme="minorEastAsia" w:eastAsiaTheme="minorEastAsia" w:cstheme="minorEastAsia"/>
                <w:kern w:val="0"/>
                <w:sz w:val="22"/>
                <w:szCs w:val="22"/>
              </w:rPr>
              <w:t>所称“安全文化” 是指被企业组织的员工群体所共享的安全价值观、态度、道德和行为规范组成的统一体。加强安全教育基地建设，充分利用电视、互联网、报纸、广播等多种形式和手段普及安全常识，增强全社会科学发展、安全发展的思想意识是每一个企业责任和义务。企业按照《企业安全文化建设导则》（AQ/T 9004-2008）要求，从思想上、心态上去宣传、教育、引导,不断向员工灌输“以人为本，安全第一”、“安全就是效益、安全创造效益”、“行为源于认识，预防胜于处罚，责任重于泰山”、“安全不是为了别人，而是为了你自己””安全价值观，形成人人重视安全，人人为安全尽责的良好氛围。每月至少更换一次内容的考核要求，从制度上保证企业安全文化宣传频率，主要是为了促使企业自觉主动开展安全文化创建活动</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0070C0"/>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9"/>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安全文化宣传1年</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未达到</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12次的，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2.无安全文化宣传资料档案的，</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公开安全生产举报电话号码、通信地址或者电子邮件信箱。对接到的安全生产举报和投诉及时予以调查和处理，并公开处理结果</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heme="minorEastAsia" w:hAnsiTheme="minorEastAsia" w:eastAsiaTheme="minorEastAsia" w:cstheme="minorEastAsia"/>
                <w:kern w:val="0"/>
                <w:sz w:val="22"/>
                <w:szCs w:val="22"/>
              </w:rPr>
              <w:t>加强安全生产违法法规行为监督管理对于减少和促进安全生产“三违”行为在有着十分重要意义。企业要充分发挥工会、共青团、妇联组织的作用，依法维护和落实企业职工对安全生产的参与权与监督权，鼓励职工监督举报各类安全隐患，对举报者予以奖励</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FF0000"/>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1</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无安全生产奖励举报制度的，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2.没有公开安全生产举报电话的，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sz w:val="22"/>
                <w:szCs w:val="22"/>
                <w:lang w:eastAsia="zh-CN"/>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3.对接到的安全生产举报和投诉未及时调查和处理或处理结果未公开的，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13.2 安全行为</w:t>
            </w: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0分</w:t>
            </w:r>
            <w:r>
              <w:rPr>
                <w:rFonts w:hint="eastAsia" w:ascii="Times New Roman" w:hAnsi="Times New Roman" w:eastAsia="宋体" w:cs="Times New Roman"/>
                <w:color w:val="auto"/>
                <w:kern w:val="0"/>
                <w:sz w:val="22"/>
                <w:szCs w:val="22"/>
                <w:lang w:val="en-US" w:eastAsia="zh-CN" w:bidi="ar"/>
              </w:rPr>
              <w:t>）</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企业应建立包括安全价值观、安全愿景、安全使命和安全目标等在内的安全承诺</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本条所称“安全承诺”是指由企业公开做出的、代表了全体员工在关注安全和追求安全绩效方面所具有的稳定意愿及实践行动的明确表示。作为企业应该就遵守安全生产法律法规、执行安全生产规章制度、保证安全生产投入、持续具备安全生产条件等与安全生产各岗位签订安全生产承诺书，向企业员工及社会作出公开承诺，自觉接受监督。同时，员工就履行岗位安全责任向企业作出承诺</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企业未开展安全承诺活动，</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3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未签订安全承诺书，</w:t>
            </w:r>
            <w:r>
              <w:rPr>
                <w:rFonts w:hint="eastAsia" w:ascii="Times New Roman" w:hAnsi="Times New Roman" w:eastAsia="宋体" w:cs="Times New Roman"/>
                <w:color w:val="auto"/>
                <w:kern w:val="0"/>
                <w:sz w:val="22"/>
                <w:szCs w:val="22"/>
                <w:lang w:val="en-US" w:eastAsia="zh-CN" w:bidi="ar"/>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企业应组织开展安全生产月活动、安全生产班组竞赛活动，有方案、有总结</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开展安全文化宣传活动有利于促进企业员工更好认知企业安全文化，增强安全意识，企业根据自身条件和特点，结合生产实际，开展形式多样的安全宣传和安全生产竞赛活动，引导全体从业人员的安全态度和安全行为，逐步形成为全体员工所认同、共同遵守、带有本单位特点的安全价值观，实现法律和政府监管要求之上的安全自我约束，保障企业安全生产水平持续提高</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1"/>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未开展安全生产活动的，</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31"/>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安全生产活动档案资料不齐全，</w:t>
            </w:r>
            <w:r>
              <w:rPr>
                <w:rFonts w:hint="eastAsia" w:ascii="Times New Roman" w:hAnsi="Times New Roman" w:eastAsia="宋体" w:cs="Times New Roman"/>
                <w:color w:val="auto"/>
                <w:kern w:val="0"/>
                <w:sz w:val="22"/>
                <w:szCs w:val="22"/>
                <w:lang w:val="en-US" w:eastAsia="zh-CN" w:bidi="ar"/>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十四、</w:t>
            </w:r>
            <w:r>
              <w:rPr>
                <w:rFonts w:hint="default" w:ascii="Times New Roman" w:hAnsi="Times New Roman" w:eastAsia="宋体" w:cs="Times New Roman"/>
                <w:color w:val="auto"/>
                <w:kern w:val="0"/>
                <w:sz w:val="22"/>
                <w:szCs w:val="22"/>
                <w:lang w:val="en-US" w:eastAsia="zh-CN" w:bidi="ar"/>
              </w:rPr>
              <w:t xml:space="preserve">应急管理 </w:t>
            </w:r>
            <w:r>
              <w:rPr>
                <w:rFonts w:hint="eastAsia" w:ascii="Times New Roman" w:hAnsi="Times New Roman" w:eastAsia="宋体" w:cs="Times New Roman"/>
                <w:color w:val="auto"/>
                <w:kern w:val="0"/>
                <w:sz w:val="22"/>
                <w:szCs w:val="22"/>
                <w:lang w:val="en-US" w:eastAsia="zh-CN" w:bidi="ar"/>
              </w:rPr>
              <w:t>9</w:t>
            </w:r>
            <w:r>
              <w:rPr>
                <w:rFonts w:hint="default" w:ascii="Times New Roman" w:hAnsi="Times New Roman" w:eastAsia="宋体" w:cs="Times New Roman"/>
                <w:color w:val="auto"/>
                <w:kern w:val="0"/>
                <w:sz w:val="22"/>
                <w:szCs w:val="22"/>
                <w:lang w:val="en-US" w:eastAsia="zh-CN" w:bidi="ar"/>
              </w:rPr>
              <w:t>0分</w:t>
            </w:r>
          </w:p>
        </w:tc>
        <w:tc>
          <w:tcPr>
            <w:tcW w:w="65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14.1 预案制定</w:t>
            </w:r>
            <w:r>
              <w:rPr>
                <w:rFonts w:hint="eastAsia" w:ascii="Times New Roman" w:hAnsi="Times New Roman" w:eastAsia="宋体" w:cs="Times New Roman"/>
                <w:color w:val="auto"/>
                <w:kern w:val="0"/>
                <w:sz w:val="22"/>
                <w:szCs w:val="22"/>
                <w:lang w:val="en-US" w:eastAsia="zh-CN" w:bidi="ar"/>
              </w:rPr>
              <w:t>（30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 xml:space="preserve"> </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企业应在开展安全风险评估和应急资源调查的基础上，建立生产安全事故应急预案体系，制定符合GB/T 29639规定的生产安全事故应急预案，针对安全风险较大的重点场所（设施）制定现场处置方案，并编制重点岗位、人员应急处置卡</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《生产安全事故应急预案管理办法》第十条规定：编制应急预案前，编制单位应当进行事故风险辨识、评估和应急资源调查</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事故风险辨识、评估，是指针对不同事故种类及特点，识别存在的危险危害因素，分析事故可能产生的直接后果以及次生、衍生后果，评估各种后果的危害程度和影响范围，提出防范和控制事故风险措施的过程。</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应急资源调查，是指全面调查本地区、本单位第一时间可以调用的应急资源状况和合作区域内可以请求援助的应急资源状况，并结合事故风险辨识评估结论制定应急措施的过程。</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《生产安全事故应急预案管理办法》第十九条规定：生产经营单位应当在编制应急预案的基础上，针对工作场所、岗位的特点，编制简明、实用、有效的应急处置卡</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2"/>
              </w:numPr>
              <w:suppressLineNumbers w:val="0"/>
              <w:kinsoku/>
              <w:wordWrap/>
              <w:overflowPunct/>
              <w:topLinePunct w:val="0"/>
              <w:autoSpaceDE/>
              <w:autoSpaceDN/>
              <w:bidi w:val="0"/>
              <w:adjustRightInd/>
              <w:snapToGrid/>
              <w:spacing w:line="280" w:lineRule="exact"/>
              <w:jc w:val="left"/>
              <w:rPr>
                <w:rFonts w:hint="default"/>
                <w:color w:val="000000" w:themeColor="text1"/>
                <w:sz w:val="22"/>
                <w:szCs w:val="22"/>
                <w:lang w:val="en-US" w:eastAsia="zh-CN"/>
                <w14:textFill>
                  <w14:solidFill>
                    <w14:schemeClr w14:val="tx1"/>
                  </w14:solidFill>
                </w14:textFill>
              </w:rPr>
            </w:pPr>
            <w:r>
              <w:rPr>
                <w:rFonts w:hint="default"/>
                <w:color w:val="000000" w:themeColor="text1"/>
                <w:sz w:val="22"/>
                <w:szCs w:val="22"/>
                <w:lang w:val="en-US" w:eastAsia="zh-CN"/>
                <w14:textFill>
                  <w14:solidFill>
                    <w14:schemeClr w14:val="tx1"/>
                  </w14:solidFill>
                </w14:textFill>
              </w:rPr>
              <w:t>未编制安全风险评估和应急资源调查报告，</w:t>
            </w:r>
            <w:r>
              <w:rPr>
                <w:rFonts w:hint="eastAsia"/>
                <w:color w:val="000000" w:themeColor="text1"/>
                <w:sz w:val="22"/>
                <w:szCs w:val="22"/>
                <w:lang w:val="en-US" w:eastAsia="zh-Hans"/>
                <w14:textFill>
                  <w14:solidFill>
                    <w14:schemeClr w14:val="tx1"/>
                  </w14:solidFill>
                </w14:textFill>
              </w:rPr>
              <w:t>不符合</w:t>
            </w:r>
            <w:r>
              <w:rPr>
                <w:rFonts w:hint="default"/>
                <w:color w:val="000000" w:themeColor="text1"/>
                <w:sz w:val="22"/>
                <w:szCs w:val="22"/>
                <w:lang w:val="en-US" w:eastAsia="zh-CN"/>
                <w14:textFill>
                  <w14:solidFill>
                    <w14:schemeClr w14:val="tx1"/>
                  </w14:solidFill>
                </w14:textFill>
              </w:rPr>
              <w:t>；</w:t>
            </w:r>
          </w:p>
          <w:p>
            <w:pPr>
              <w:keepNext w:val="0"/>
              <w:keepLines w:val="0"/>
              <w:pageBreakBefore w:val="0"/>
              <w:widowControl/>
              <w:numPr>
                <w:ilvl w:val="0"/>
                <w:numId w:val="32"/>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color w:val="000000" w:themeColor="text1"/>
                <w:sz w:val="22"/>
                <w:szCs w:val="22"/>
                <w:lang w:val="en-US" w:eastAsia="zh-CN"/>
                <w14:textFill>
                  <w14:solidFill>
                    <w14:schemeClr w14:val="tx1"/>
                  </w14:solidFill>
                </w14:textFill>
              </w:rPr>
            </w:pPr>
            <w:r>
              <w:rPr>
                <w:rFonts w:hint="default"/>
                <w:color w:val="000000" w:themeColor="text1"/>
                <w:sz w:val="22"/>
                <w:szCs w:val="22"/>
                <w:lang w:val="en-US" w:eastAsia="zh-CN"/>
                <w14:textFill>
                  <w14:solidFill>
                    <w14:schemeClr w14:val="tx1"/>
                  </w14:solidFill>
                </w14:textFill>
              </w:rPr>
              <w:t>生产安全事故应急预案体系不全，</w:t>
            </w:r>
            <w:r>
              <w:rPr>
                <w:rFonts w:hint="eastAsia"/>
                <w:color w:val="000000" w:themeColor="text1"/>
                <w:sz w:val="22"/>
                <w:szCs w:val="22"/>
                <w:lang w:val="en-US" w:eastAsia="zh-Hans"/>
                <w14:textFill>
                  <w14:solidFill>
                    <w14:schemeClr w14:val="tx1"/>
                  </w14:solidFill>
                </w14:textFill>
              </w:rPr>
              <w:t>不符合</w:t>
            </w:r>
            <w:r>
              <w:rPr>
                <w:rFonts w:hint="default"/>
                <w:color w:val="000000" w:themeColor="text1"/>
                <w:sz w:val="22"/>
                <w:szCs w:val="22"/>
                <w:lang w:val="en-US" w:eastAsia="zh-CN"/>
                <w14:textFill>
                  <w14:solidFill>
                    <w14:schemeClr w14:val="tx1"/>
                  </w14:solidFill>
                </w14:textFill>
              </w:rPr>
              <w:t>；</w:t>
            </w:r>
          </w:p>
          <w:p>
            <w:pPr>
              <w:keepNext w:val="0"/>
              <w:keepLines w:val="0"/>
              <w:pageBreakBefore w:val="0"/>
              <w:widowControl/>
              <w:numPr>
                <w:ilvl w:val="0"/>
                <w:numId w:val="32"/>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color w:val="000000" w:themeColor="text1"/>
                <w:sz w:val="22"/>
                <w:szCs w:val="22"/>
                <w:lang w:val="en-US" w:eastAsia="zh-CN"/>
                <w14:textFill>
                  <w14:solidFill>
                    <w14:schemeClr w14:val="tx1"/>
                  </w14:solidFill>
                </w14:textFill>
              </w:rPr>
            </w:pPr>
            <w:r>
              <w:rPr>
                <w:rFonts w:hint="default"/>
                <w:color w:val="000000" w:themeColor="text1"/>
                <w:sz w:val="22"/>
                <w:szCs w:val="22"/>
                <w:lang w:val="en-US" w:eastAsia="zh-CN"/>
                <w14:textFill>
                  <w14:solidFill>
                    <w14:schemeClr w14:val="tx1"/>
                  </w14:solidFill>
                </w14:textFill>
              </w:rPr>
              <w:t>现场处置方案不全</w:t>
            </w:r>
            <w:r>
              <w:rPr>
                <w:rFonts w:hint="eastAsia"/>
                <w:color w:val="000000" w:themeColor="text1"/>
                <w:sz w:val="22"/>
                <w:szCs w:val="22"/>
                <w:lang w:val="en-US" w:eastAsia="zh-Hans"/>
                <w14:textFill>
                  <w14:solidFill>
                    <w14:schemeClr w14:val="tx1"/>
                  </w14:solidFill>
                </w14:textFill>
              </w:rPr>
              <w:t>的</w:t>
            </w:r>
            <w:r>
              <w:rPr>
                <w:rFonts w:hint="default"/>
                <w:color w:val="000000" w:themeColor="text1"/>
                <w:sz w:val="22"/>
                <w:szCs w:val="22"/>
                <w:lang w:val="en-US" w:eastAsia="zh-CN"/>
                <w14:textFill>
                  <w14:solidFill>
                    <w14:schemeClr w14:val="tx1"/>
                  </w14:solidFill>
                </w14:textFill>
              </w:rPr>
              <w:t>，</w:t>
            </w:r>
            <w:r>
              <w:rPr>
                <w:rFonts w:hint="eastAsia"/>
                <w:color w:val="000000" w:themeColor="text1"/>
                <w:sz w:val="22"/>
                <w:szCs w:val="22"/>
                <w:lang w:val="en-US" w:eastAsia="zh-Hans"/>
                <w14:textFill>
                  <w14:solidFill>
                    <w14:schemeClr w14:val="tx1"/>
                  </w14:solidFill>
                </w14:textFill>
              </w:rPr>
              <w:t>不符合</w:t>
            </w:r>
            <w:r>
              <w:rPr>
                <w:rFonts w:hint="default"/>
                <w:color w:val="000000" w:themeColor="text1"/>
                <w:sz w:val="22"/>
                <w:szCs w:val="22"/>
                <w:lang w:val="en-US" w:eastAsia="zh-CN"/>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color w:val="000000" w:themeColor="text1"/>
                <w:sz w:val="22"/>
                <w:szCs w:val="22"/>
                <w:lang w:val="en-US" w:eastAsia="zh-CN"/>
                <w14:textFill>
                  <w14:solidFill>
                    <w14:schemeClr w14:val="tx1"/>
                  </w14:solidFill>
                </w14:textFill>
              </w:rPr>
              <w:t>4.</w:t>
            </w:r>
            <w:r>
              <w:rPr>
                <w:rFonts w:hint="default"/>
                <w:color w:val="000000" w:themeColor="text1"/>
                <w:sz w:val="22"/>
                <w:szCs w:val="22"/>
                <w:lang w:val="en-US" w:eastAsia="zh-CN"/>
                <w14:textFill>
                  <w14:solidFill>
                    <w14:schemeClr w14:val="tx1"/>
                  </w14:solidFill>
                </w14:textFill>
              </w:rPr>
              <w:t>重点岗位、人员应急处置卡不全，或处置卡信息不完整</w:t>
            </w:r>
            <w:r>
              <w:rPr>
                <w:rFonts w:hint="eastAsia"/>
                <w:color w:val="000000" w:themeColor="text1"/>
                <w:sz w:val="22"/>
                <w:szCs w:val="22"/>
                <w:lang w:val="en-US" w:eastAsia="zh-Hans"/>
                <w14:textFill>
                  <w14:solidFill>
                    <w14:schemeClr w14:val="tx1"/>
                  </w14:solidFill>
                </w14:textFill>
              </w:rPr>
              <w:t>的</w:t>
            </w:r>
            <w:r>
              <w:rPr>
                <w:rFonts w:hint="default"/>
                <w:color w:val="000000" w:themeColor="text1"/>
                <w:sz w:val="22"/>
                <w:szCs w:val="22"/>
                <w:lang w:eastAsia="zh-Hans"/>
                <w14:textFill>
                  <w14:solidFill>
                    <w14:schemeClr w14:val="tx1"/>
                  </w14:solidFill>
                </w14:textFill>
              </w:rPr>
              <w:t>，</w:t>
            </w:r>
            <w:r>
              <w:rPr>
                <w:rFonts w:hint="eastAsia"/>
                <w:color w:val="000000" w:themeColor="text1"/>
                <w:sz w:val="22"/>
                <w:szCs w:val="22"/>
                <w:lang w:val="en-US" w:eastAsia="zh-Hans"/>
                <w14:textFill>
                  <w14:solidFill>
                    <w14:schemeClr w14:val="tx1"/>
                  </w14:solidFill>
                </w14:textFill>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color w:val="000000" w:themeColor="text1"/>
                <w:sz w:val="22"/>
                <w:szCs w:val="22"/>
                <w:lang w:val="en-US" w:eastAsia="zh-CN"/>
                <w14:textFill>
                  <w14:solidFill>
                    <w14:schemeClr w14:val="tx1"/>
                  </w14:solidFill>
                </w14:textFill>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color w:val="000000" w:themeColor="text1"/>
                <w:sz w:val="22"/>
                <w:szCs w:val="22"/>
                <w:lang w:val="en-US" w:eastAsia="zh-CN"/>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highlight w:val="none"/>
                <w:lang w:val="en-US" w:eastAsia="zh-CN" w:bidi="ar"/>
              </w:rPr>
              <w:t>应急预案应与当地政府、行业管理部门预案保持衔接，报当地有关部门备案，通报有关协作单位</w:t>
            </w:r>
          </w:p>
        </w:tc>
        <w:tc>
          <w:tcPr>
            <w:tcW w:w="3982" w:type="dxa"/>
            <w:tcBorders>
              <w:tl2br w:val="nil"/>
              <w:tr2bl w:val="nil"/>
            </w:tcBorders>
            <w:shd w:val="clear" w:color="auto" w:fill="auto"/>
            <w:tcMar>
              <w:top w:w="75" w:type="dxa"/>
              <w:left w:w="90" w:type="dxa"/>
              <w:bottom w:w="75" w:type="dxa"/>
              <w:right w:w="90" w:type="dxa"/>
            </w:tcMar>
            <w:vAlign w:val="center"/>
          </w:tcPr>
          <w:p>
            <w:pPr>
              <w:pStyle w:val="10"/>
              <w:keepNext w:val="0"/>
              <w:keepLines w:val="0"/>
              <w:widowControl/>
              <w:suppressLineNumbers w:val="0"/>
              <w:spacing w:line="336" w:lineRule="atLeast"/>
              <w:jc w:val="left"/>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lang w:val="en-US" w:eastAsia="zh-CN" w:bidi="ar"/>
              </w:rPr>
              <w:t>《安全生产法》第二十六条 易燃易爆物品、危险化学品等危险物品的生产、经营、储存、运输单位，矿山、金属冶炼、城市轨道交通运营、建筑施工单位，以及宾馆、商场、娱乐场所、旅游景区等人员密集场所经营单位，应当在应急预案公布之日起20个工作日内，按照分级属地原则，向县级以上人民政府应急管理部门和其他负有安全生产监督管理职责的部门进行备案，并依法向社会公布</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highlight w:val="none"/>
                <w:lang w:val="en-US" w:eastAsia="zh-CN" w:bidi="ar-SA"/>
              </w:rPr>
            </w:pPr>
            <w:r>
              <w:rPr>
                <w:rFonts w:hint="eastAsia" w:ascii="Times New Roman" w:hAnsi="Times New Roman" w:eastAsia="宋体" w:cs="Times New Roman"/>
                <w:color w:val="auto"/>
                <w:kern w:val="0"/>
                <w:sz w:val="22"/>
                <w:szCs w:val="22"/>
                <w:highlight w:val="none"/>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3"/>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未明确如何将企业突发事件应急预案与行业主管部门、政府预案保持衔接，</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sz w:val="22"/>
                <w:szCs w:val="22"/>
                <w:highlight w:val="none"/>
                <w:lang w:eastAsia="zh-CN"/>
              </w:rPr>
            </w:pP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2.突发事件应急预案未报备属地行业主管部门和当地政府安全监督管理等部门</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highlight w:val="none"/>
                <w:lang w:val="en-US" w:eastAsia="zh-CN" w:bidi="ar"/>
              </w:rPr>
              <w:t>企业应组织开展应急预案评审或论证，并定期进行评估和修订</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eastAsia" w:ascii="宋体" w:hAnsi="宋体"/>
                <w:sz w:val="22"/>
                <w:szCs w:val="22"/>
              </w:rPr>
              <w:t>根据《企业安全生产标准化基本规范》和《生产安全事故应急预案管理办法》，应急预案应定期评审，并根据评审结果或实际情况的变化进行修订和完善，至少每三年修订一次,预案修订情况应有记录并归档</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highlight w:val="none"/>
                <w:lang w:val="en-US" w:eastAsia="zh-CN" w:bidi="ar-SA"/>
              </w:rPr>
            </w:pPr>
            <w:r>
              <w:rPr>
                <w:rFonts w:hint="default" w:ascii="Times New Roman" w:hAnsi="Times New Roman" w:eastAsia="宋体" w:cs="Times New Roman"/>
                <w:color w:val="0070C0"/>
                <w:kern w:val="0"/>
                <w:sz w:val="22"/>
                <w:szCs w:val="22"/>
                <w:highlight w:val="none"/>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4"/>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未将应急预案执行情况纳入企业安全生产标准化定期评审制度，</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p>
          <w:p>
            <w:pPr>
              <w:keepNext w:val="0"/>
              <w:keepLines w:val="0"/>
              <w:pageBreakBefore w:val="0"/>
              <w:widowControl/>
              <w:numPr>
                <w:ilvl w:val="0"/>
                <w:numId w:val="34"/>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未按规定对应急预案进行定期评审，</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p>
          <w:p>
            <w:pPr>
              <w:keepNext w:val="0"/>
              <w:keepLines w:val="0"/>
              <w:pageBreakBefore w:val="0"/>
              <w:widowControl/>
              <w:numPr>
                <w:ilvl w:val="0"/>
                <w:numId w:val="34"/>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未根据评审情况对预案进行修改完善，</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000000" w:themeColor="text1"/>
                <w:kern w:val="0"/>
                <w:sz w:val="22"/>
                <w:szCs w:val="22"/>
                <w:highlight w:val="none"/>
                <w:lang w:eastAsia="zh-CN" w:bidi="ar"/>
                <w14:textFill>
                  <w14:solidFill>
                    <w14:schemeClr w14:val="tx1"/>
                  </w14:solidFill>
                </w14:textFill>
              </w:rPr>
              <w:t>4</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应急预案修订未向事先报备或通报的单位或部门报告，</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eastAsia="zh-CN" w:bidi="ar"/>
                <w14:textFill>
                  <w14:solidFill>
                    <w14:schemeClr w14:val="tx1"/>
                  </w14:solidFill>
                </w14:textFill>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t>14.2 预案实施</w:t>
            </w:r>
            <w:r>
              <w:rPr>
                <w:rFonts w:hint="eastAsia" w:ascii="Times New Roman" w:hAnsi="Times New Roman" w:eastAsia="宋体" w:cs="Times New Roman"/>
                <w:color w:val="auto"/>
                <w:kern w:val="0"/>
                <w:sz w:val="22"/>
                <w:szCs w:val="22"/>
                <w:lang w:val="en-US" w:eastAsia="zh-CN" w:bidi="ar"/>
              </w:rPr>
              <w:t>(10分)</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开展应急预案的宣传教育培训，使有关人员了解应急预案内容，熟悉应急职责、应急程序和现场处置方案，并普及生产安全事故预防、避险、自救和互救知识</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根据《生产安全事故应急预案管理办法》第三十一条规定：生生产经营单位应当组织开展本单位的应急预案、应急知识、自救互救和避险逃生技能的培训活动，使有关人员了解应急预案内容，熟悉应急职责、应急处置程序和措施。应急培训的时间、地点、内容、师资、参加人员和考核结果等情况应当如实记入本单位的安全生产教育和培训档案</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未开展应急预案培训的，</w:t>
            </w:r>
            <w:r>
              <w:rPr>
                <w:rFonts w:hint="eastAsia" w:ascii="Times New Roman" w:hAnsi="Times New Roman" w:eastAsia="宋体" w:cs="Times New Roman"/>
                <w:color w:val="auto"/>
                <w:kern w:val="0"/>
                <w:sz w:val="22"/>
                <w:szCs w:val="22"/>
                <w:lang w:val="en-US" w:eastAsia="zh-CN" w:bidi="ar"/>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14.4 应急物资</w:t>
            </w:r>
            <w:r>
              <w:rPr>
                <w:rFonts w:hint="eastAsia" w:ascii="Times New Roman" w:hAnsi="Times New Roman" w:eastAsia="宋体" w:cs="Times New Roman"/>
                <w:color w:val="auto"/>
                <w:kern w:val="0"/>
                <w:sz w:val="22"/>
                <w:szCs w:val="22"/>
                <w:lang w:val="en-US" w:eastAsia="zh-CN" w:bidi="ar"/>
              </w:rPr>
              <w:t>（20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企业应根据可能发生的事故种类特点，按照有关规定设置应急设施，配备应急装备，储备应急物资</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《生产安全事故应急预案管理办法》规定，生产经营单位应当按照应急预案的要求配备相应的应急物资及装备，建立使用状况档案，定期检测和维护，使其处于良好状态</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t>未配备足够的应急救援设备、器材、物资和相应品种、数量的急救药品的，</w:t>
            </w:r>
            <w:r>
              <w:rPr>
                <w:rFonts w:hint="eastAsia" w:ascii="Times New Roman" w:hAnsi="Times New Roman" w:eastAsia="宋体" w:cs="Times New Roman"/>
                <w:color w:val="auto"/>
                <w:kern w:val="0"/>
                <w:sz w:val="22"/>
                <w:szCs w:val="22"/>
                <w:lang w:val="en-US" w:eastAsia="zh-CN" w:bidi="ar"/>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企业应建立管理台账，安排专人管理，并定期检查、维护、保养，确保其完好、可靠</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应急装备是指用于应急管理与应急救援的工具、器材、服装、技术力量等。</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《企业安全生产标准化基本规范》规定，企业应按规定建立应急设施，配备应急装备</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5"/>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应急救援器材、设施未定期检查维护的，</w:t>
            </w:r>
            <w:r>
              <w:rPr>
                <w:rFonts w:hint="eastAsia" w:ascii="Times New Roman" w:hAnsi="Times New Roman" w:eastAsia="宋体" w:cs="Times New Roman"/>
                <w:color w:val="auto"/>
                <w:kern w:val="0"/>
                <w:sz w:val="22"/>
                <w:szCs w:val="22"/>
                <w:lang w:val="en-US" w:eastAsia="zh-CN" w:bidi="ar"/>
              </w:rPr>
              <w:t>不得分</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35"/>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应急救援器材、设施完整性不符合要求的，</w:t>
            </w:r>
            <w:r>
              <w:rPr>
                <w:rFonts w:hint="eastAsia" w:ascii="Times New Roman" w:hAnsi="Times New Roman" w:eastAsia="宋体" w:cs="Times New Roman"/>
                <w:color w:val="auto"/>
                <w:kern w:val="0"/>
                <w:sz w:val="22"/>
                <w:szCs w:val="22"/>
                <w:lang w:val="en-US" w:eastAsia="zh-CN" w:bidi="ar"/>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14.5 应急演练</w:t>
            </w:r>
            <w:r>
              <w:rPr>
                <w:rFonts w:hint="eastAsia" w:ascii="Times New Roman" w:hAnsi="Times New Roman" w:eastAsia="宋体" w:cs="Times New Roman"/>
                <w:color w:val="auto"/>
                <w:kern w:val="0"/>
                <w:sz w:val="22"/>
                <w:szCs w:val="22"/>
                <w:lang w:val="en-US" w:eastAsia="zh-CN" w:bidi="ar"/>
              </w:rPr>
              <w:t>（20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企业应按照AQ/T 9007《生产安全事故应急演练指南》的规定定期组织开展生产安全事故应急演练，做到一线从业人员参与应急演练全覆盖</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highlight w:val="none"/>
                <w:lang w:val="en-US" w:eastAsia="zh-CN" w:bidi="ar"/>
              </w:rPr>
              <w:t>《生产安全事故应急条例》</w:t>
            </w:r>
            <w:r>
              <w:rPr>
                <w:rFonts w:hint="default" w:ascii="Times New Roman" w:hAnsi="Times New Roman" w:eastAsia="宋体" w:cs="Times New Roman"/>
                <w:color w:val="auto"/>
                <w:kern w:val="0"/>
                <w:sz w:val="22"/>
                <w:szCs w:val="22"/>
                <w:highlight w:val="none"/>
                <w:lang w:val="en-US" w:eastAsia="zh-CN" w:bidi="ar"/>
              </w:rPr>
              <w:t>易燃易爆物品、危险化学品等危险物品的生产、经营、储存、</w:t>
            </w:r>
            <w:r>
              <w:rPr>
                <w:rFonts w:hint="default" w:ascii="Times New Roman" w:hAnsi="Times New Roman" w:eastAsia="宋体" w:cs="Times New Roman"/>
                <w:b/>
                <w:bCs/>
                <w:color w:val="auto"/>
                <w:kern w:val="0"/>
                <w:sz w:val="22"/>
                <w:szCs w:val="22"/>
                <w:highlight w:val="none"/>
                <w:lang w:val="en-US" w:eastAsia="zh-CN" w:bidi="ar"/>
              </w:rPr>
              <w:t>运输单位</w:t>
            </w:r>
            <w:r>
              <w:rPr>
                <w:rFonts w:hint="default" w:ascii="Times New Roman" w:hAnsi="Times New Roman" w:eastAsia="宋体" w:cs="Times New Roman"/>
                <w:color w:val="auto"/>
                <w:kern w:val="0"/>
                <w:sz w:val="22"/>
                <w:szCs w:val="22"/>
                <w:highlight w:val="none"/>
                <w:lang w:val="en-US" w:eastAsia="zh-CN" w:bidi="ar"/>
              </w:rPr>
              <w:t>，矿山、金属冶炼、城市轨道交通运营、建筑施工单位，以及宾馆、商场、娱乐场所、旅游景区等人员密集场所经营单位，应当至少每半年组织一次生产安全事故应急预案演练，并将演练情况报送所在地县级以上地方人民政府</w:t>
            </w:r>
            <w:r>
              <w:rPr>
                <w:rFonts w:hint="default" w:ascii="Times New Roman" w:hAnsi="Times New Roman" w:eastAsia="宋体" w:cs="Times New Roman"/>
                <w:color w:val="auto"/>
                <w:kern w:val="0"/>
                <w:sz w:val="22"/>
                <w:szCs w:val="22"/>
                <w:lang w:val="en-US" w:eastAsia="zh-CN" w:bidi="ar"/>
              </w:rPr>
              <w:t>负有安全生产监督管理职责的部门</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1.未</w:t>
            </w:r>
            <w:r>
              <w:rPr>
                <w:rFonts w:hint="default" w:ascii="Times New Roman" w:hAnsi="Times New Roman" w:eastAsia="宋体" w:cs="Times New Roman"/>
                <w:color w:val="auto"/>
                <w:kern w:val="0"/>
                <w:sz w:val="22"/>
                <w:szCs w:val="22"/>
                <w:lang w:val="en-US" w:eastAsia="zh-CN" w:bidi="ar"/>
              </w:rPr>
              <w:t>按照规定制定应急预案演练划，并印发</w:t>
            </w:r>
            <w:r>
              <w:rPr>
                <w:rFonts w:hint="eastAsia"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sz w:val="22"/>
                <w:szCs w:val="22"/>
                <w:lang w:eastAsia="zh-CN"/>
              </w:rPr>
            </w:pPr>
            <w:r>
              <w:rPr>
                <w:rFonts w:hint="eastAsia" w:ascii="Times New Roman" w:hAnsi="Times New Roman" w:eastAsia="宋体" w:cs="Times New Roman"/>
                <w:color w:val="auto"/>
                <w:kern w:val="0"/>
                <w:sz w:val="22"/>
                <w:szCs w:val="22"/>
                <w:lang w:val="en-US" w:eastAsia="zh-CN" w:bidi="ar"/>
              </w:rPr>
              <w:t>2.未</w:t>
            </w:r>
            <w:r>
              <w:rPr>
                <w:rFonts w:hint="default" w:ascii="Times New Roman" w:hAnsi="Times New Roman" w:eastAsia="宋体" w:cs="Times New Roman"/>
                <w:color w:val="auto"/>
                <w:kern w:val="0"/>
                <w:sz w:val="22"/>
                <w:szCs w:val="22"/>
                <w:lang w:val="en-US" w:eastAsia="zh-CN" w:bidi="ar"/>
              </w:rPr>
              <w:t>按计划开展应急演练，并保留应急演练记录；应急演练记录应完整、齐全、详细</w:t>
            </w:r>
            <w:r>
              <w:rPr>
                <w:rFonts w:hint="eastAsia"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bottom w:val="single" w:color="auto" w:sz="4" w:space="0"/>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bottom w:val="single" w:color="auto" w:sz="4" w:space="0"/>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企业应按照AQ/T 9009《生产安全事故应急演练评估规范》的规定对演练进行总结和评估，根据评估结论和演练发现的问题，修订、完善应急预案，改进应急准备工作</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《生产安全事故应急预案管理办法》</w:t>
            </w:r>
            <w:r>
              <w:rPr>
                <w:rFonts w:hint="default" w:ascii="Times New Roman" w:hAnsi="Times New Roman" w:eastAsia="宋体" w:cs="Times New Roman"/>
                <w:color w:val="auto"/>
                <w:kern w:val="0"/>
                <w:sz w:val="22"/>
                <w:szCs w:val="22"/>
                <w:lang w:val="en-US" w:eastAsia="zh-CN" w:bidi="ar"/>
              </w:rPr>
              <w:t>第三十四条</w:t>
            </w:r>
            <w:r>
              <w:rPr>
                <w:rFonts w:hint="eastAsia" w:ascii="Times New Roman" w:hAnsi="Times New Roman" w:eastAsia="宋体" w:cs="Times New Roman"/>
                <w:color w:val="auto"/>
                <w:kern w:val="0"/>
                <w:sz w:val="22"/>
                <w:szCs w:val="22"/>
                <w:lang w:val="en-US" w:eastAsia="zh-CN" w:bidi="ar"/>
              </w:rPr>
              <w:t>规定“</w:t>
            </w:r>
            <w:r>
              <w:rPr>
                <w:rFonts w:hint="default" w:ascii="Times New Roman" w:hAnsi="Times New Roman" w:eastAsia="宋体" w:cs="Times New Roman"/>
                <w:color w:val="auto"/>
                <w:kern w:val="0"/>
                <w:sz w:val="22"/>
                <w:szCs w:val="22"/>
                <w:lang w:val="en-US" w:eastAsia="zh-CN" w:bidi="ar"/>
              </w:rPr>
              <w:t>应急预案演练结束后，应急预案演练组织单位应当对应急预案演练效果进行评估，撰写应急预案演练评估报告，分析存在的问题，并对应急预案提出修订意见。</w:t>
            </w:r>
            <w:r>
              <w:rPr>
                <w:rFonts w:hint="eastAsia" w:ascii="Times New Roman" w:hAnsi="Times New Roman" w:eastAsia="宋体" w:cs="Times New Roman"/>
                <w:color w:val="auto"/>
                <w:kern w:val="0"/>
                <w:sz w:val="22"/>
                <w:szCs w:val="22"/>
                <w:lang w:val="en-US" w:eastAsia="zh-CN" w:bidi="ar"/>
              </w:rPr>
              <w:t>”</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演练后未对应急预案演练</w:t>
            </w:r>
            <w:r>
              <w:rPr>
                <w:rFonts w:hint="eastAsia" w:ascii="Times New Roman" w:hAnsi="Times New Roman" w:eastAsia="宋体" w:cs="Times New Roman"/>
                <w:color w:val="auto"/>
                <w:kern w:val="0"/>
                <w:sz w:val="22"/>
                <w:szCs w:val="22"/>
                <w:lang w:val="en-US" w:eastAsia="zh-CN" w:bidi="ar"/>
              </w:rPr>
              <w:t>总结</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tcBorders>
              <w:top w:val="single" w:color="auto" w:sz="4" w:space="0"/>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14.6应急处置（10分）</w:t>
            </w:r>
          </w:p>
        </w:tc>
        <w:tc>
          <w:tcPr>
            <w:tcW w:w="3209" w:type="dxa"/>
            <w:tcBorders>
              <w:top w:val="single" w:color="auto" w:sz="4" w:space="0"/>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完成险情或事故应急处置后，企业应主动配合有关组织开展应急处置评估</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为了掌握公司应对险情或生产安全事故的情况，对公司应急能力进行评估，找出应急准备、应急处置的薄弱环节。制定相应的措施加强应急能力</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6"/>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完成事故应急处置后，企业未配合有组织开展应急处置评估，</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2.完成事故应急处置后，企业</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未</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组织开展应急处置评估，</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十五、</w:t>
            </w:r>
            <w:r>
              <w:rPr>
                <w:rFonts w:hint="default" w:ascii="Times New Roman" w:hAnsi="Times New Roman" w:eastAsia="宋体" w:cs="Times New Roman"/>
                <w:color w:val="auto"/>
                <w:kern w:val="0"/>
                <w:sz w:val="22"/>
                <w:szCs w:val="22"/>
                <w:lang w:val="en-US" w:eastAsia="zh-CN" w:bidi="ar"/>
              </w:rPr>
              <w:t xml:space="preserve">事故报告及统计 </w:t>
            </w:r>
            <w:r>
              <w:rPr>
                <w:rFonts w:hint="eastAsia" w:ascii="Times New Roman" w:hAnsi="Times New Roman" w:eastAsia="宋体" w:cs="Times New Roman"/>
                <w:color w:val="auto"/>
                <w:kern w:val="0"/>
                <w:sz w:val="22"/>
                <w:szCs w:val="22"/>
                <w:lang w:val="en-US" w:eastAsia="zh-CN" w:bidi="ar"/>
              </w:rPr>
              <w:t>5</w:t>
            </w:r>
            <w:r>
              <w:rPr>
                <w:rFonts w:hint="default" w:ascii="Times New Roman" w:hAnsi="Times New Roman" w:eastAsia="宋体" w:cs="Times New Roman"/>
                <w:color w:val="auto"/>
                <w:kern w:val="0"/>
                <w:sz w:val="22"/>
                <w:szCs w:val="22"/>
                <w:lang w:val="en-US" w:eastAsia="zh-CN" w:bidi="ar"/>
              </w:rPr>
              <w:t>0分</w:t>
            </w:r>
          </w:p>
        </w:tc>
        <w:tc>
          <w:tcPr>
            <w:tcW w:w="65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15.1 事故报告</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20</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分</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企业应建立事故报告程序，明确事故内外部报告的责任人、时限、内容等，并教育、指导从业人员严格按照有关规定的程序报告发生的生产安全事故</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应按照《生产安全事故报告和调查处理条例》规定，事故发生后，事故现场有关人员应当立即向本单位负责人报告；单位负责人接到报告后，应当于1小时内向事故发生地县级以上人民政府安全生产监督管理部门和负有安全生产监督管理职责的有关部门报告</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7"/>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事故报告程序规定的内容不够充分、完整，</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37"/>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未按事故报告程序的规定，发生事故后，按要求进行内外部报告，</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3.事故报告过程的资料保留不全，</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发生事故，企业应及时进行事故现场处置，按相关规定及时、如实向有关部门报告，没有瞒报、谎报、迟报情况</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企业必须在及时妥善应对处置事故同时，严格按照规定上报事故情况。</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“迟报”是指报告事故的时间超过规定时限；</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 xml:space="preserve">“漏报”是指因过失对应当上报的事故或者事故发生的时间、地点、类别、伤亡人数、直接经济损失等内容遗漏未报； </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 xml:space="preserve">“谎报”是指故意不如实报告事故发生的时间、地点、类别、伤亡人数、直接经济损失等有关内容； </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“瞒报”是指故意隐瞒已经发生的事故，并经有关部门查证属实</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8"/>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未</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制定安全生产事故报告的规定，应责任明确、内容完善、满足规定要求</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p>
            <w:pPr>
              <w:keepNext w:val="0"/>
              <w:keepLines w:val="0"/>
              <w:pageBreakBefore w:val="0"/>
              <w:widowControl/>
              <w:numPr>
                <w:ilvl w:val="0"/>
                <w:numId w:val="38"/>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事故发生后，</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企业未</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迅速采取有效措施，组织抢救，防止事故扩大，减少人员伤亡和财产损失；及时、准确、如实向有关部门报告，没有瞒报、谎报、迟报情况；</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p>
          <w:p>
            <w:pPr>
              <w:keepNext w:val="0"/>
              <w:keepLines w:val="0"/>
              <w:pageBreakBefore w:val="0"/>
              <w:widowControl/>
              <w:numPr>
                <w:ilvl w:val="0"/>
                <w:numId w:val="38"/>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.事故报告</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未</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包括下列内容：事故发生概况；事故发生时间、地点以及事故 现场情况；事故简要经过；事故已造成或者可能造成的伤亡人数（包括失踪的人数）、水域环境污染情况下、初步估计的直接经济损失；已经采取的措施等</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企业应跟踪事故发展情况，及时续报事故信息</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为了掌握公司应对险情或生产安全事故的情况，对公司应急能力进行评估，找出应急准备、应急处置的薄弱环节。制定相应的措施加强应急能力</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未及时续报事故信息要求</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，续报事故信息未保留记录</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 xml:space="preserve">15.2 事故调查处理 </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2</w:t>
            </w:r>
            <w:r>
              <w:rPr>
                <w:rFonts w:hint="eastAsia" w:ascii="Times New Roman" w:hAnsi="Times New Roman" w:eastAsia="宋体" w:cs="Times New Roman"/>
                <w:color w:val="auto"/>
                <w:kern w:val="0"/>
                <w:sz w:val="22"/>
                <w:szCs w:val="22"/>
                <w:lang w:val="en-US" w:eastAsia="zh-CN" w:bidi="ar"/>
              </w:rPr>
              <w:t>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 xml:space="preserve"> </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企业应建立内部事故调查和处理制度，按照有关规定、行业标准和国际通行做法，将造成人员伤亡（轻伤、重伤、死亡等人身伤害和急性中毒）和财产损失的事故纳入事故调查和处理范畴</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企业应按“四不放过”原则严肃查处事故</w:t>
            </w:r>
            <w:r>
              <w:rPr>
                <w:rFonts w:hint="eastAsia" w:ascii="Times New Roman" w:hAnsi="Times New Roman" w:eastAsia="宋体" w:cs="Times New Roman"/>
                <w:color w:val="auto"/>
                <w:kern w:val="0"/>
                <w:sz w:val="22"/>
                <w:szCs w:val="22"/>
                <w:lang w:val="en-US" w:eastAsia="zh-CN" w:bidi="ar"/>
              </w:rPr>
              <w:t>，</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按照有关规定、行业标准和国际通行做法，将造成人员伤亡（轻伤、重伤、死亡等人身伤害和急性中毒）和财产损失的事故纳入事故调查和处理范畴</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9"/>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未制定</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合理</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完善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符合相关要求的</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事故调查和处理制度，</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2</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.未按规定将造成人员伤亡（轻伤、重伤、死亡等人身伤害和急性中毒）和财产损失的事故进行调查和处理的，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3</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.事故调查和处理资料不全</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企业应按时提交事故调查报告，分析事故原因，落实整改措施</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发生事故后，企业有义务按照“四不放过”原则对事故发生的原因进行分析，分析事故的直接、间接原因和事故责任，提出整改措施和处理建议。《生产安全事故报告和调查处理条例》事故报告后出现新情况的，应当及时补报</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4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事故报告调查规定的内容</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4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企业未及时上报事故调查报告，</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3.未进行事故原因分析，落实整改措施</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 xml:space="preserve">15.3 事故档案管理 </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 xml:space="preserve"> </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企业应建立事故档案和管理台账</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《交通运输企业安全生产标准化建设基本规范》中规定企业应建立事故档案和管理台账</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t>未建立事故档案和管理台账</w:t>
            </w:r>
            <w:r>
              <w:rPr>
                <w:rFonts w:hint="eastAsia" w:ascii="Times New Roman" w:hAnsi="Times New Roman" w:eastAsia="宋体" w:cs="Times New Roman"/>
                <w:color w:val="auto"/>
                <w:kern w:val="0"/>
                <w:sz w:val="22"/>
                <w:szCs w:val="22"/>
                <w:lang w:val="en-US" w:eastAsia="zh-CN" w:bidi="ar"/>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十六、</w:t>
            </w:r>
            <w:r>
              <w:rPr>
                <w:rFonts w:hint="default" w:ascii="Times New Roman" w:hAnsi="Times New Roman" w:eastAsia="宋体" w:cs="Times New Roman"/>
                <w:color w:val="auto"/>
                <w:kern w:val="0"/>
                <w:sz w:val="22"/>
                <w:szCs w:val="22"/>
                <w:lang w:val="en-US" w:eastAsia="zh-CN" w:bidi="ar"/>
              </w:rPr>
              <w:t xml:space="preserve"> </w:t>
            </w:r>
            <w:r>
              <w:rPr>
                <w:rFonts w:hint="eastAsia" w:ascii="Times New Roman" w:hAnsi="Times New Roman" w:eastAsia="宋体" w:cs="Times New Roman"/>
                <w:color w:val="auto"/>
                <w:kern w:val="0"/>
                <w:sz w:val="22"/>
                <w:szCs w:val="22"/>
                <w:lang w:val="en-US" w:eastAsia="zh-CN" w:bidi="ar"/>
              </w:rPr>
              <w:t>自评与</w:t>
            </w:r>
            <w:r>
              <w:rPr>
                <w:rFonts w:hint="default" w:ascii="Times New Roman" w:hAnsi="Times New Roman" w:eastAsia="宋体" w:cs="Times New Roman"/>
                <w:color w:val="auto"/>
                <w:kern w:val="0"/>
                <w:sz w:val="22"/>
                <w:szCs w:val="22"/>
                <w:lang w:val="en-US" w:eastAsia="zh-CN" w:bidi="ar"/>
              </w:rPr>
              <w:t xml:space="preserve">持续改进 </w:t>
            </w: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0分</w:t>
            </w:r>
          </w:p>
        </w:tc>
        <w:tc>
          <w:tcPr>
            <w:tcW w:w="65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 xml:space="preserve">16.1 </w:t>
            </w:r>
            <w:r>
              <w:rPr>
                <w:rFonts w:hint="eastAsia" w:ascii="Times New Roman" w:hAnsi="Times New Roman" w:eastAsia="宋体" w:cs="Times New Roman"/>
                <w:color w:val="auto"/>
                <w:kern w:val="0"/>
                <w:sz w:val="22"/>
                <w:szCs w:val="22"/>
                <w:lang w:val="en-US" w:eastAsia="zh-CN" w:bidi="ar"/>
              </w:rPr>
              <w:t>自评</w:t>
            </w:r>
            <w:r>
              <w:rPr>
                <w:rFonts w:hint="default" w:ascii="Times New Roman" w:hAnsi="Times New Roman" w:eastAsia="宋体" w:cs="Times New Roman"/>
                <w:color w:val="auto"/>
                <w:kern w:val="0"/>
                <w:sz w:val="22"/>
                <w:szCs w:val="22"/>
                <w:lang w:val="en-US" w:eastAsia="zh-CN" w:bidi="ar"/>
              </w:rPr>
              <w:t xml:space="preserve"> </w:t>
            </w: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0分</w:t>
            </w:r>
            <w:r>
              <w:rPr>
                <w:rFonts w:hint="eastAsia" w:ascii="Times New Roman" w:hAnsi="Times New Roman" w:eastAsia="宋体" w:cs="Times New Roman"/>
                <w:color w:val="auto"/>
                <w:kern w:val="0"/>
                <w:sz w:val="22"/>
                <w:szCs w:val="22"/>
                <w:lang w:val="en-US" w:eastAsia="zh-CN" w:bidi="ar"/>
              </w:rPr>
              <w:t>）</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企业应每年至少一次对本单位安全生产标准化的运行情况进行自评，验证各项安全生产制度措施的适宜性、充分性和有效性</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应按要求每年至少一次全面、系统地与本标准逐条、逐项进行判断和对比、打分、综合分析对本单位安全生产标准化的实施情况进行评定，验证各项安全生产制度措施的适宜性、充分性和有效性，总结安全生产工作现状，查找问题，持续改进</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eastAsia" w:ascii="Times New Roman" w:hAnsi="Times New Roman" w:eastAsia="宋体" w:cs="Times New Roman"/>
                <w:color w:val="auto"/>
                <w:kern w:val="0"/>
                <w:sz w:val="22"/>
                <w:szCs w:val="22"/>
                <w:lang w:val="en-US" w:eastAsia="zh-CN" w:bidi="ar"/>
              </w:rPr>
              <w:t>每年开展安全生产标准化</w:t>
            </w:r>
            <w:r>
              <w:rPr>
                <w:rFonts w:hint="default" w:ascii="Times New Roman" w:hAnsi="Times New Roman" w:eastAsia="宋体" w:cs="Times New Roman"/>
                <w:color w:val="auto"/>
                <w:kern w:val="0"/>
                <w:sz w:val="22"/>
                <w:szCs w:val="22"/>
                <w:lang w:val="en-US" w:eastAsia="zh-CN" w:bidi="ar"/>
              </w:rPr>
              <w:t>自评活</w:t>
            </w:r>
            <w:r>
              <w:rPr>
                <w:rFonts w:hint="eastAsia" w:ascii="Times New Roman" w:hAnsi="Times New Roman" w:eastAsia="宋体" w:cs="Times New Roman"/>
                <w:color w:val="auto"/>
                <w:kern w:val="0"/>
                <w:sz w:val="22"/>
                <w:szCs w:val="22"/>
                <w:lang w:val="en-US" w:eastAsia="zh-CN" w:bidi="ar"/>
              </w:rPr>
              <w:t>，未编制自评报告</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企业主要负责人应全面负责自评工作。自评应形成正式文件，将结果向所有部门、所属单位和从业人员通报，</w:t>
            </w:r>
            <w:r>
              <w:rPr>
                <w:rFonts w:hint="eastAsia" w:ascii="Times New Roman" w:hAnsi="Times New Roman" w:eastAsia="宋体" w:cs="Times New Roman"/>
                <w:color w:val="auto"/>
                <w:kern w:val="0"/>
                <w:sz w:val="22"/>
                <w:szCs w:val="22"/>
                <w:lang w:val="en-US" w:eastAsia="zh-CN" w:bidi="ar"/>
              </w:rPr>
              <w:t>并上报至交通信息平台。</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安全生产标准化自评工作应由企业主要负责人组织实施，自评结果要经主要负责人确认后向所有部门、所属单位和从业人员通报，并将结果作为年度评价的重要依据</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41"/>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未提供主要负责人组织实施自评工作的证明材料，</w:t>
            </w:r>
            <w:r>
              <w:rPr>
                <w:rFonts w:hint="eastAsia" w:ascii="Times New Roman" w:hAnsi="Times New Roman" w:eastAsia="宋体" w:cs="Times New Roman"/>
                <w:color w:val="auto"/>
                <w:kern w:val="0"/>
                <w:sz w:val="22"/>
                <w:szCs w:val="22"/>
                <w:lang w:val="en-US" w:eastAsia="zh-CN" w:bidi="ar"/>
              </w:rPr>
              <w:t>不符合</w:t>
            </w:r>
          </w:p>
          <w:p>
            <w:pPr>
              <w:keepNext w:val="0"/>
              <w:keepLines w:val="0"/>
              <w:pageBreakBefore w:val="0"/>
              <w:widowControl/>
              <w:numPr>
                <w:ilvl w:val="0"/>
                <w:numId w:val="41"/>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自评报告内容或自评范围不完整的，</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41"/>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t>自评报告</w:t>
            </w:r>
            <w:r>
              <w:rPr>
                <w:rFonts w:hint="eastAsia" w:ascii="Times New Roman" w:hAnsi="Times New Roman" w:eastAsia="宋体" w:cs="Times New Roman"/>
                <w:color w:val="auto"/>
                <w:kern w:val="0"/>
                <w:sz w:val="22"/>
                <w:szCs w:val="22"/>
                <w:lang w:val="en-US" w:eastAsia="zh-CN" w:bidi="ar"/>
              </w:rPr>
              <w:t>未上报至交通信息平台，不符合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88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65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16.2持续改进（10分）</w:t>
            </w:r>
            <w:r>
              <w:rPr>
                <w:rFonts w:hint="default" w:ascii="Times New Roman" w:hAnsi="Times New Roman" w:eastAsia="宋体" w:cs="Times New Roman"/>
                <w:color w:val="auto"/>
                <w:kern w:val="0"/>
                <w:sz w:val="22"/>
                <w:szCs w:val="22"/>
                <w:lang w:val="en-US" w:eastAsia="zh-CN" w:bidi="ar"/>
              </w:rPr>
              <w:t xml:space="preserve"> </w:t>
            </w:r>
          </w:p>
        </w:tc>
        <w:tc>
          <w:tcPr>
            <w:tcW w:w="32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根据企业安全管理现状，</w:t>
            </w:r>
            <w:r>
              <w:rPr>
                <w:rFonts w:hint="default" w:ascii="Times New Roman" w:hAnsi="Times New Roman" w:eastAsia="宋体" w:cs="Times New Roman"/>
                <w:color w:val="auto"/>
                <w:kern w:val="0"/>
                <w:sz w:val="22"/>
                <w:szCs w:val="22"/>
                <w:lang w:val="en-US" w:eastAsia="zh-CN" w:bidi="ar"/>
              </w:rPr>
              <w:t>客观分析安全生产标准化管理体系的运行质量，及时调整完善安全生产目标、指标、规章制度、操作规程等相关管理文件和过程管控，持续改进</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不断提高安全生产绩效</w:t>
            </w:r>
          </w:p>
        </w:tc>
        <w:tc>
          <w:tcPr>
            <w:tcW w:w="398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安全生产标准化管理综合评价与改进工作，一般安排在年度自评以后，对考评情况进行综合分析评定</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在每年安全生产标准化管理综合评价与改进后，全面综合分析企业安全生产标准化管理工作，着眼长效，运用系统化和标准化管理的原理，完善各项安全生产目标指标、管理制度、操作规程等文件和控制过程，形成企业安全生产管理体系，以持续改进，不断提高安全生产绩效。</w:t>
            </w:r>
          </w:p>
        </w:tc>
        <w:tc>
          <w:tcPr>
            <w:tcW w:w="12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FF0000"/>
                <w:kern w:val="0"/>
                <w:sz w:val="22"/>
                <w:szCs w:val="22"/>
                <w:lang w:val="en-US" w:eastAsia="zh-CN" w:bidi="ar"/>
              </w:rPr>
              <w:t>★</w:t>
            </w:r>
          </w:p>
        </w:tc>
        <w:tc>
          <w:tcPr>
            <w:tcW w:w="1956"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未对</w:t>
            </w:r>
            <w:r>
              <w:rPr>
                <w:rFonts w:hint="eastAsia" w:ascii="Times New Roman" w:hAnsi="Times New Roman" w:eastAsia="宋体" w:cs="Times New Roman"/>
                <w:color w:val="auto"/>
                <w:kern w:val="0"/>
                <w:sz w:val="22"/>
                <w:szCs w:val="22"/>
                <w:lang w:val="en-US" w:eastAsia="zh-CN" w:bidi="ar"/>
              </w:rPr>
              <w:t>自评提</w:t>
            </w:r>
            <w:r>
              <w:rPr>
                <w:rFonts w:hint="default" w:ascii="Times New Roman" w:hAnsi="Times New Roman" w:eastAsia="宋体" w:cs="Times New Roman"/>
                <w:color w:val="auto"/>
                <w:kern w:val="0"/>
                <w:sz w:val="22"/>
                <w:szCs w:val="22"/>
                <w:lang w:val="en-US" w:eastAsia="zh-CN" w:bidi="ar"/>
              </w:rPr>
              <w:t>出的问题</w:t>
            </w:r>
            <w:r>
              <w:rPr>
                <w:rFonts w:hint="eastAsia" w:ascii="Times New Roman" w:hAnsi="Times New Roman" w:eastAsia="宋体" w:cs="Times New Roman"/>
                <w:color w:val="auto"/>
                <w:kern w:val="0"/>
                <w:sz w:val="22"/>
                <w:szCs w:val="22"/>
                <w:lang w:val="en-US" w:eastAsia="zh-CN" w:bidi="ar"/>
              </w:rPr>
              <w:t>制定</w:t>
            </w:r>
            <w:r>
              <w:rPr>
                <w:rFonts w:hint="default" w:ascii="Times New Roman" w:hAnsi="Times New Roman" w:eastAsia="宋体" w:cs="Times New Roman"/>
                <w:color w:val="auto"/>
                <w:kern w:val="0"/>
                <w:sz w:val="22"/>
                <w:szCs w:val="22"/>
                <w:lang w:val="en-US" w:eastAsia="zh-CN" w:bidi="ar"/>
              </w:rPr>
              <w:t>整改措施并</w:t>
            </w:r>
            <w:r>
              <w:rPr>
                <w:rFonts w:hint="eastAsia" w:ascii="Times New Roman" w:hAnsi="Times New Roman" w:eastAsia="宋体" w:cs="Times New Roman"/>
                <w:color w:val="auto"/>
                <w:kern w:val="0"/>
                <w:sz w:val="22"/>
                <w:szCs w:val="22"/>
                <w:lang w:val="en-US" w:eastAsia="zh-CN" w:bidi="ar"/>
              </w:rPr>
              <w:t>落实整改</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并持续改进，不符合。</w:t>
            </w:r>
          </w:p>
        </w:tc>
        <w:tc>
          <w:tcPr>
            <w:tcW w:w="115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978"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bl>
    <w:p/>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swiss"/>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微软雅黑">
    <w:altName w:val="方正黑体_GBK"/>
    <w:panose1 w:val="020B0503020204020204"/>
    <w:charset w:val="86"/>
    <w:family w:val="auto"/>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27A849"/>
    <w:multiLevelType w:val="singleLevel"/>
    <w:tmpl w:val="8527A849"/>
    <w:lvl w:ilvl="0" w:tentative="0">
      <w:start w:val="1"/>
      <w:numFmt w:val="decimal"/>
      <w:lvlText w:val="%1."/>
      <w:lvlJc w:val="left"/>
      <w:pPr>
        <w:tabs>
          <w:tab w:val="left" w:pos="312"/>
        </w:tabs>
      </w:pPr>
    </w:lvl>
  </w:abstractNum>
  <w:abstractNum w:abstractNumId="1">
    <w:nsid w:val="8ECE7C1A"/>
    <w:multiLevelType w:val="singleLevel"/>
    <w:tmpl w:val="8ECE7C1A"/>
    <w:lvl w:ilvl="0" w:tentative="0">
      <w:start w:val="1"/>
      <w:numFmt w:val="decimal"/>
      <w:lvlText w:val="%1."/>
      <w:lvlJc w:val="left"/>
      <w:pPr>
        <w:tabs>
          <w:tab w:val="left" w:pos="312"/>
        </w:tabs>
      </w:pPr>
    </w:lvl>
  </w:abstractNum>
  <w:abstractNum w:abstractNumId="2">
    <w:nsid w:val="8FF697A8"/>
    <w:multiLevelType w:val="singleLevel"/>
    <w:tmpl w:val="8FF697A8"/>
    <w:lvl w:ilvl="0" w:tentative="0">
      <w:start w:val="1"/>
      <w:numFmt w:val="decimal"/>
      <w:lvlText w:val="%1."/>
      <w:lvlJc w:val="left"/>
      <w:pPr>
        <w:tabs>
          <w:tab w:val="left" w:pos="312"/>
        </w:tabs>
      </w:pPr>
    </w:lvl>
  </w:abstractNum>
  <w:abstractNum w:abstractNumId="3">
    <w:nsid w:val="91E260E6"/>
    <w:multiLevelType w:val="singleLevel"/>
    <w:tmpl w:val="91E260E6"/>
    <w:lvl w:ilvl="0" w:tentative="0">
      <w:start w:val="1"/>
      <w:numFmt w:val="decimal"/>
      <w:lvlText w:val="%1."/>
      <w:lvlJc w:val="left"/>
      <w:pPr>
        <w:tabs>
          <w:tab w:val="left" w:pos="312"/>
        </w:tabs>
      </w:pPr>
    </w:lvl>
  </w:abstractNum>
  <w:abstractNum w:abstractNumId="4">
    <w:nsid w:val="9DFF12CF"/>
    <w:multiLevelType w:val="singleLevel"/>
    <w:tmpl w:val="9DFF12CF"/>
    <w:lvl w:ilvl="0" w:tentative="0">
      <w:start w:val="1"/>
      <w:numFmt w:val="decimal"/>
      <w:lvlText w:val="%1."/>
      <w:lvlJc w:val="left"/>
      <w:pPr>
        <w:tabs>
          <w:tab w:val="left" w:pos="312"/>
        </w:tabs>
      </w:pPr>
    </w:lvl>
  </w:abstractNum>
  <w:abstractNum w:abstractNumId="5">
    <w:nsid w:val="9F59CCEA"/>
    <w:multiLevelType w:val="singleLevel"/>
    <w:tmpl w:val="9F59CCEA"/>
    <w:lvl w:ilvl="0" w:tentative="0">
      <w:start w:val="1"/>
      <w:numFmt w:val="decimal"/>
      <w:lvlText w:val="%1."/>
      <w:lvlJc w:val="left"/>
      <w:pPr>
        <w:tabs>
          <w:tab w:val="left" w:pos="312"/>
        </w:tabs>
      </w:pPr>
    </w:lvl>
  </w:abstractNum>
  <w:abstractNum w:abstractNumId="6">
    <w:nsid w:val="A38E7836"/>
    <w:multiLevelType w:val="singleLevel"/>
    <w:tmpl w:val="A38E7836"/>
    <w:lvl w:ilvl="0" w:tentative="0">
      <w:start w:val="1"/>
      <w:numFmt w:val="decimal"/>
      <w:lvlText w:val="%1."/>
      <w:lvlJc w:val="left"/>
      <w:pPr>
        <w:tabs>
          <w:tab w:val="left" w:pos="312"/>
        </w:tabs>
      </w:pPr>
    </w:lvl>
  </w:abstractNum>
  <w:abstractNum w:abstractNumId="7">
    <w:nsid w:val="A439D675"/>
    <w:multiLevelType w:val="singleLevel"/>
    <w:tmpl w:val="A439D675"/>
    <w:lvl w:ilvl="0" w:tentative="0">
      <w:start w:val="1"/>
      <w:numFmt w:val="decimal"/>
      <w:lvlText w:val="%1."/>
      <w:lvlJc w:val="left"/>
      <w:pPr>
        <w:tabs>
          <w:tab w:val="left" w:pos="312"/>
        </w:tabs>
      </w:pPr>
    </w:lvl>
  </w:abstractNum>
  <w:abstractNum w:abstractNumId="8">
    <w:nsid w:val="B198C083"/>
    <w:multiLevelType w:val="singleLevel"/>
    <w:tmpl w:val="B198C083"/>
    <w:lvl w:ilvl="0" w:tentative="0">
      <w:start w:val="1"/>
      <w:numFmt w:val="decimal"/>
      <w:lvlText w:val="%1."/>
      <w:lvlJc w:val="left"/>
      <w:pPr>
        <w:tabs>
          <w:tab w:val="left" w:pos="312"/>
        </w:tabs>
      </w:pPr>
    </w:lvl>
  </w:abstractNum>
  <w:abstractNum w:abstractNumId="9">
    <w:nsid w:val="BCFF3AB2"/>
    <w:multiLevelType w:val="singleLevel"/>
    <w:tmpl w:val="BCFF3AB2"/>
    <w:lvl w:ilvl="0" w:tentative="0">
      <w:start w:val="1"/>
      <w:numFmt w:val="decimal"/>
      <w:lvlText w:val="%1."/>
      <w:lvlJc w:val="left"/>
      <w:pPr>
        <w:tabs>
          <w:tab w:val="left" w:pos="312"/>
        </w:tabs>
      </w:pPr>
    </w:lvl>
  </w:abstractNum>
  <w:abstractNum w:abstractNumId="10">
    <w:nsid w:val="BF9D1549"/>
    <w:multiLevelType w:val="singleLevel"/>
    <w:tmpl w:val="BF9D1549"/>
    <w:lvl w:ilvl="0" w:tentative="0">
      <w:start w:val="1"/>
      <w:numFmt w:val="decimal"/>
      <w:lvlText w:val="%1."/>
      <w:lvlJc w:val="left"/>
      <w:pPr>
        <w:tabs>
          <w:tab w:val="left" w:pos="312"/>
        </w:tabs>
      </w:pPr>
    </w:lvl>
  </w:abstractNum>
  <w:abstractNum w:abstractNumId="11">
    <w:nsid w:val="BFFBF972"/>
    <w:multiLevelType w:val="singleLevel"/>
    <w:tmpl w:val="BFFBF972"/>
    <w:lvl w:ilvl="0" w:tentative="0">
      <w:start w:val="1"/>
      <w:numFmt w:val="decimal"/>
      <w:lvlText w:val="%1."/>
      <w:lvlJc w:val="left"/>
      <w:pPr>
        <w:tabs>
          <w:tab w:val="left" w:pos="312"/>
        </w:tabs>
      </w:pPr>
    </w:lvl>
  </w:abstractNum>
  <w:abstractNum w:abstractNumId="12">
    <w:nsid w:val="C9D47727"/>
    <w:multiLevelType w:val="singleLevel"/>
    <w:tmpl w:val="C9D47727"/>
    <w:lvl w:ilvl="0" w:tentative="0">
      <w:start w:val="1"/>
      <w:numFmt w:val="decimal"/>
      <w:lvlText w:val="%1."/>
      <w:lvlJc w:val="left"/>
      <w:pPr>
        <w:tabs>
          <w:tab w:val="left" w:pos="312"/>
        </w:tabs>
      </w:pPr>
    </w:lvl>
  </w:abstractNum>
  <w:abstractNum w:abstractNumId="13">
    <w:nsid w:val="D0E08EE3"/>
    <w:multiLevelType w:val="singleLevel"/>
    <w:tmpl w:val="D0E08EE3"/>
    <w:lvl w:ilvl="0" w:tentative="0">
      <w:start w:val="1"/>
      <w:numFmt w:val="decimal"/>
      <w:lvlText w:val="%1."/>
      <w:lvlJc w:val="left"/>
      <w:pPr>
        <w:tabs>
          <w:tab w:val="left" w:pos="312"/>
        </w:tabs>
      </w:pPr>
    </w:lvl>
  </w:abstractNum>
  <w:abstractNum w:abstractNumId="14">
    <w:nsid w:val="DB655F93"/>
    <w:multiLevelType w:val="singleLevel"/>
    <w:tmpl w:val="DB655F93"/>
    <w:lvl w:ilvl="0" w:tentative="0">
      <w:start w:val="1"/>
      <w:numFmt w:val="decimal"/>
      <w:lvlText w:val="%1."/>
      <w:lvlJc w:val="left"/>
      <w:pPr>
        <w:tabs>
          <w:tab w:val="left" w:pos="312"/>
        </w:tabs>
      </w:pPr>
    </w:lvl>
  </w:abstractNum>
  <w:abstractNum w:abstractNumId="15">
    <w:nsid w:val="DEFF6203"/>
    <w:multiLevelType w:val="singleLevel"/>
    <w:tmpl w:val="DEFF6203"/>
    <w:lvl w:ilvl="0" w:tentative="0">
      <w:start w:val="1"/>
      <w:numFmt w:val="decimal"/>
      <w:lvlText w:val="%1."/>
      <w:lvlJc w:val="left"/>
      <w:pPr>
        <w:tabs>
          <w:tab w:val="left" w:pos="312"/>
        </w:tabs>
      </w:pPr>
    </w:lvl>
  </w:abstractNum>
  <w:abstractNum w:abstractNumId="16">
    <w:nsid w:val="DFBA6FC9"/>
    <w:multiLevelType w:val="singleLevel"/>
    <w:tmpl w:val="DFBA6FC9"/>
    <w:lvl w:ilvl="0" w:tentative="0">
      <w:start w:val="1"/>
      <w:numFmt w:val="decimal"/>
      <w:suff w:val="space"/>
      <w:lvlText w:val="%1."/>
      <w:lvlJc w:val="left"/>
    </w:lvl>
  </w:abstractNum>
  <w:abstractNum w:abstractNumId="17">
    <w:nsid w:val="E3045E17"/>
    <w:multiLevelType w:val="singleLevel"/>
    <w:tmpl w:val="E3045E17"/>
    <w:lvl w:ilvl="0" w:tentative="0">
      <w:start w:val="1"/>
      <w:numFmt w:val="decimal"/>
      <w:lvlText w:val="%1."/>
      <w:lvlJc w:val="left"/>
      <w:pPr>
        <w:tabs>
          <w:tab w:val="left" w:pos="312"/>
        </w:tabs>
      </w:pPr>
    </w:lvl>
  </w:abstractNum>
  <w:abstractNum w:abstractNumId="18">
    <w:nsid w:val="E382A513"/>
    <w:multiLevelType w:val="singleLevel"/>
    <w:tmpl w:val="E382A513"/>
    <w:lvl w:ilvl="0" w:tentative="0">
      <w:start w:val="1"/>
      <w:numFmt w:val="decimal"/>
      <w:lvlText w:val="%1."/>
      <w:lvlJc w:val="left"/>
      <w:pPr>
        <w:tabs>
          <w:tab w:val="left" w:pos="312"/>
        </w:tabs>
      </w:pPr>
    </w:lvl>
  </w:abstractNum>
  <w:abstractNum w:abstractNumId="19">
    <w:nsid w:val="EB9A9218"/>
    <w:multiLevelType w:val="singleLevel"/>
    <w:tmpl w:val="EB9A9218"/>
    <w:lvl w:ilvl="0" w:tentative="0">
      <w:start w:val="1"/>
      <w:numFmt w:val="decimal"/>
      <w:lvlText w:val="%1."/>
      <w:lvlJc w:val="left"/>
      <w:pPr>
        <w:tabs>
          <w:tab w:val="left" w:pos="312"/>
        </w:tabs>
      </w:pPr>
    </w:lvl>
  </w:abstractNum>
  <w:abstractNum w:abstractNumId="20">
    <w:nsid w:val="ED14F942"/>
    <w:multiLevelType w:val="singleLevel"/>
    <w:tmpl w:val="ED14F942"/>
    <w:lvl w:ilvl="0" w:tentative="0">
      <w:start w:val="1"/>
      <w:numFmt w:val="decimal"/>
      <w:lvlText w:val="%1."/>
      <w:lvlJc w:val="left"/>
      <w:pPr>
        <w:tabs>
          <w:tab w:val="left" w:pos="312"/>
        </w:tabs>
      </w:pPr>
    </w:lvl>
  </w:abstractNum>
  <w:abstractNum w:abstractNumId="21">
    <w:nsid w:val="EF397A1F"/>
    <w:multiLevelType w:val="singleLevel"/>
    <w:tmpl w:val="EF397A1F"/>
    <w:lvl w:ilvl="0" w:tentative="0">
      <w:start w:val="1"/>
      <w:numFmt w:val="decimal"/>
      <w:lvlText w:val="%1."/>
      <w:lvlJc w:val="left"/>
      <w:pPr>
        <w:tabs>
          <w:tab w:val="left" w:pos="312"/>
        </w:tabs>
      </w:pPr>
    </w:lvl>
  </w:abstractNum>
  <w:abstractNum w:abstractNumId="22">
    <w:nsid w:val="F8EB97FE"/>
    <w:multiLevelType w:val="singleLevel"/>
    <w:tmpl w:val="F8EB97FE"/>
    <w:lvl w:ilvl="0" w:tentative="0">
      <w:start w:val="1"/>
      <w:numFmt w:val="decimal"/>
      <w:lvlText w:val="%1."/>
      <w:lvlJc w:val="left"/>
      <w:pPr>
        <w:tabs>
          <w:tab w:val="left" w:pos="312"/>
        </w:tabs>
      </w:pPr>
    </w:lvl>
  </w:abstractNum>
  <w:abstractNum w:abstractNumId="23">
    <w:nsid w:val="FD3ED148"/>
    <w:multiLevelType w:val="singleLevel"/>
    <w:tmpl w:val="FD3ED148"/>
    <w:lvl w:ilvl="0" w:tentative="0">
      <w:start w:val="1"/>
      <w:numFmt w:val="decimal"/>
      <w:lvlText w:val="%1."/>
      <w:lvlJc w:val="left"/>
      <w:pPr>
        <w:tabs>
          <w:tab w:val="left" w:pos="312"/>
        </w:tabs>
      </w:pPr>
    </w:lvl>
  </w:abstractNum>
  <w:abstractNum w:abstractNumId="24">
    <w:nsid w:val="FE3A8CB6"/>
    <w:multiLevelType w:val="singleLevel"/>
    <w:tmpl w:val="FE3A8CB6"/>
    <w:lvl w:ilvl="0" w:tentative="0">
      <w:start w:val="1"/>
      <w:numFmt w:val="decimal"/>
      <w:lvlText w:val="%1."/>
      <w:lvlJc w:val="left"/>
      <w:pPr>
        <w:tabs>
          <w:tab w:val="left" w:pos="312"/>
        </w:tabs>
      </w:pPr>
    </w:lvl>
  </w:abstractNum>
  <w:abstractNum w:abstractNumId="25">
    <w:nsid w:val="FF569A60"/>
    <w:multiLevelType w:val="singleLevel"/>
    <w:tmpl w:val="FF569A60"/>
    <w:lvl w:ilvl="0" w:tentative="0">
      <w:start w:val="1"/>
      <w:numFmt w:val="decimal"/>
      <w:lvlText w:val="%1."/>
      <w:lvlJc w:val="left"/>
      <w:pPr>
        <w:tabs>
          <w:tab w:val="left" w:pos="312"/>
        </w:tabs>
      </w:pPr>
    </w:lvl>
  </w:abstractNum>
  <w:abstractNum w:abstractNumId="26">
    <w:nsid w:val="FFBF94DC"/>
    <w:multiLevelType w:val="singleLevel"/>
    <w:tmpl w:val="FFBF94DC"/>
    <w:lvl w:ilvl="0" w:tentative="0">
      <w:start w:val="1"/>
      <w:numFmt w:val="decimal"/>
      <w:lvlText w:val="%1."/>
      <w:lvlJc w:val="left"/>
      <w:pPr>
        <w:tabs>
          <w:tab w:val="left" w:pos="312"/>
        </w:tabs>
      </w:pPr>
    </w:lvl>
  </w:abstractNum>
  <w:abstractNum w:abstractNumId="27">
    <w:nsid w:val="0E7D35D8"/>
    <w:multiLevelType w:val="singleLevel"/>
    <w:tmpl w:val="0E7D35D8"/>
    <w:lvl w:ilvl="0" w:tentative="0">
      <w:start w:val="1"/>
      <w:numFmt w:val="decimal"/>
      <w:lvlText w:val="%1."/>
      <w:lvlJc w:val="left"/>
      <w:pPr>
        <w:tabs>
          <w:tab w:val="left" w:pos="312"/>
        </w:tabs>
      </w:pPr>
    </w:lvl>
  </w:abstractNum>
  <w:abstractNum w:abstractNumId="28">
    <w:nsid w:val="0F80145F"/>
    <w:multiLevelType w:val="singleLevel"/>
    <w:tmpl w:val="0F80145F"/>
    <w:lvl w:ilvl="0" w:tentative="0">
      <w:start w:val="1"/>
      <w:numFmt w:val="decimal"/>
      <w:lvlText w:val="%1."/>
      <w:lvlJc w:val="left"/>
      <w:pPr>
        <w:tabs>
          <w:tab w:val="left" w:pos="312"/>
        </w:tabs>
      </w:pPr>
    </w:lvl>
  </w:abstractNum>
  <w:abstractNum w:abstractNumId="29">
    <w:nsid w:val="1FC91163"/>
    <w:multiLevelType w:val="multilevel"/>
    <w:tmpl w:val="1FC91163"/>
    <w:lvl w:ilvl="0" w:tentative="0">
      <w:start w:val="1"/>
      <w:numFmt w:val="decimal"/>
      <w:suff w:val="nothing"/>
      <w:lvlText w:val="%1　"/>
      <w:lvlJc w:val="left"/>
      <w:rPr>
        <w:rFonts w:hint="eastAsia" w:ascii="黑体" w:hAnsi="Times New Roman" w:eastAsia="黑体" w:cs="Times New Roman"/>
        <w:b w:val="0"/>
        <w:i w:val="0"/>
        <w:sz w:val="21"/>
        <w:szCs w:val="21"/>
      </w:rPr>
    </w:lvl>
    <w:lvl w:ilvl="1" w:tentative="0">
      <w:start w:val="1"/>
      <w:numFmt w:val="decimal"/>
      <w:pStyle w:val="36"/>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35"/>
      <w:suff w:val="nothing"/>
      <w:lvlText w:val="%1.%2.%3　"/>
      <w:lvlJc w:val="left"/>
      <w:pPr>
        <w:ind w:left="426"/>
      </w:pPr>
      <w:rPr>
        <w:rFonts w:hint="eastAsia" w:ascii="黑体" w:hAnsi="Times New Roman" w:eastAsia="黑体" w:cs="Times New Roman"/>
        <w:b w:val="0"/>
        <w:i w:val="0"/>
        <w:sz w:val="21"/>
      </w:rPr>
    </w:lvl>
    <w:lvl w:ilvl="3" w:tentative="0">
      <w:start w:val="1"/>
      <w:numFmt w:val="decimal"/>
      <w:pStyle w:val="34"/>
      <w:suff w:val="nothing"/>
      <w:lvlText w:val="%1.%2.%3.%4　"/>
      <w:lvlJc w:val="left"/>
      <w:pPr>
        <w:ind w:left="709"/>
      </w:pPr>
      <w:rPr>
        <w:rFonts w:hint="eastAsia" w:ascii="黑体" w:hAnsi="Times New Roman" w:eastAsia="黑体" w:cs="Times New Roman"/>
        <w:b w:val="0"/>
        <w:i w:val="0"/>
        <w:sz w:val="21"/>
      </w:rPr>
    </w:lvl>
    <w:lvl w:ilvl="4" w:tentative="0">
      <w:start w:val="1"/>
      <w:numFmt w:val="decimal"/>
      <w:suff w:val="nothing"/>
      <w:lvlText w:val="%1.%2.%3.%4.%5　"/>
      <w:lvlJc w:val="left"/>
      <w:rPr>
        <w:rFonts w:hint="eastAsia" w:ascii="黑体" w:hAnsi="Times New Roman" w:eastAsia="黑体" w:cs="Times New Roman"/>
        <w:b w:val="0"/>
        <w:i w:val="0"/>
        <w:sz w:val="21"/>
      </w:rPr>
    </w:lvl>
    <w:lvl w:ilvl="5" w:tentative="0">
      <w:start w:val="1"/>
      <w:numFmt w:val="decimal"/>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30">
    <w:nsid w:val="37A747B0"/>
    <w:multiLevelType w:val="singleLevel"/>
    <w:tmpl w:val="37A747B0"/>
    <w:lvl w:ilvl="0" w:tentative="0">
      <w:start w:val="1"/>
      <w:numFmt w:val="lowerLetter"/>
      <w:lvlText w:val="%1."/>
      <w:lvlJc w:val="left"/>
      <w:pPr>
        <w:ind w:left="425" w:hanging="425"/>
      </w:pPr>
      <w:rPr>
        <w:rFonts w:hint="default"/>
      </w:rPr>
    </w:lvl>
  </w:abstractNum>
  <w:abstractNum w:abstractNumId="31">
    <w:nsid w:val="3A168214"/>
    <w:multiLevelType w:val="singleLevel"/>
    <w:tmpl w:val="3A168214"/>
    <w:lvl w:ilvl="0" w:tentative="0">
      <w:start w:val="1"/>
      <w:numFmt w:val="decimal"/>
      <w:lvlText w:val="%1."/>
      <w:lvlJc w:val="left"/>
      <w:pPr>
        <w:tabs>
          <w:tab w:val="left" w:pos="312"/>
        </w:tabs>
      </w:pPr>
    </w:lvl>
  </w:abstractNum>
  <w:abstractNum w:abstractNumId="32">
    <w:nsid w:val="3CFE3E3E"/>
    <w:multiLevelType w:val="singleLevel"/>
    <w:tmpl w:val="3CFE3E3E"/>
    <w:lvl w:ilvl="0" w:tentative="0">
      <w:start w:val="1"/>
      <w:numFmt w:val="decimal"/>
      <w:suff w:val="space"/>
      <w:lvlText w:val="%1."/>
      <w:lvlJc w:val="left"/>
    </w:lvl>
  </w:abstractNum>
  <w:abstractNum w:abstractNumId="33">
    <w:nsid w:val="46066ED7"/>
    <w:multiLevelType w:val="singleLevel"/>
    <w:tmpl w:val="46066ED7"/>
    <w:lvl w:ilvl="0" w:tentative="0">
      <w:start w:val="1"/>
      <w:numFmt w:val="decimal"/>
      <w:lvlText w:val="%1."/>
      <w:lvlJc w:val="left"/>
      <w:pPr>
        <w:tabs>
          <w:tab w:val="left" w:pos="312"/>
        </w:tabs>
      </w:pPr>
    </w:lvl>
  </w:abstractNum>
  <w:abstractNum w:abstractNumId="34">
    <w:nsid w:val="4EC1815A"/>
    <w:multiLevelType w:val="singleLevel"/>
    <w:tmpl w:val="4EC1815A"/>
    <w:lvl w:ilvl="0" w:tentative="0">
      <w:start w:val="1"/>
      <w:numFmt w:val="decimal"/>
      <w:lvlText w:val="%1."/>
      <w:lvlJc w:val="left"/>
      <w:pPr>
        <w:tabs>
          <w:tab w:val="left" w:pos="312"/>
        </w:tabs>
      </w:pPr>
    </w:lvl>
  </w:abstractNum>
  <w:abstractNum w:abstractNumId="35">
    <w:nsid w:val="59C162A7"/>
    <w:multiLevelType w:val="singleLevel"/>
    <w:tmpl w:val="59C162A7"/>
    <w:lvl w:ilvl="0" w:tentative="0">
      <w:start w:val="1"/>
      <w:numFmt w:val="decimal"/>
      <w:lvlText w:val="%1."/>
      <w:lvlJc w:val="left"/>
      <w:pPr>
        <w:tabs>
          <w:tab w:val="left" w:pos="312"/>
        </w:tabs>
      </w:pPr>
    </w:lvl>
  </w:abstractNum>
  <w:abstractNum w:abstractNumId="36">
    <w:nsid w:val="5DC8B81C"/>
    <w:multiLevelType w:val="singleLevel"/>
    <w:tmpl w:val="5DC8B81C"/>
    <w:lvl w:ilvl="0" w:tentative="0">
      <w:start w:val="1"/>
      <w:numFmt w:val="decimal"/>
      <w:lvlText w:val="%1."/>
      <w:lvlJc w:val="left"/>
      <w:pPr>
        <w:tabs>
          <w:tab w:val="left" w:pos="312"/>
        </w:tabs>
      </w:pPr>
    </w:lvl>
  </w:abstractNum>
  <w:abstractNum w:abstractNumId="37">
    <w:nsid w:val="6CEA2025"/>
    <w:multiLevelType w:val="multilevel"/>
    <w:tmpl w:val="6CEA2025"/>
    <w:lvl w:ilvl="0" w:tentative="0">
      <w:start w:val="1"/>
      <w:numFmt w:val="none"/>
      <w:pStyle w:val="37"/>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315" w:firstLine="0"/>
      </w:pPr>
      <w:rPr>
        <w:rFonts w:hint="eastAsia" w:ascii="黑体" w:hAnsi="Times New Roman" w:eastAsia="黑体"/>
        <w:b w:val="0"/>
        <w:i w:val="0"/>
        <w:sz w:val="21"/>
      </w:rPr>
    </w:lvl>
    <w:lvl w:ilvl="2" w:tentative="0">
      <w:start w:val="1"/>
      <w:numFmt w:val="decimal"/>
      <w:suff w:val="nothing"/>
      <w:lvlText w:val="%1%2.%3　"/>
      <w:lvlJc w:val="left"/>
      <w:pPr>
        <w:ind w:left="630" w:firstLine="0"/>
      </w:pPr>
      <w:rPr>
        <w:rFonts w:hint="eastAsia" w:ascii="黑体" w:hAnsi="Times New Roman" w:eastAsia="黑体"/>
        <w:b w:val="0"/>
        <w:i w:val="0"/>
        <w:color w:val="auto"/>
        <w:sz w:val="21"/>
      </w:rPr>
    </w:lvl>
    <w:lvl w:ilvl="3" w:tentative="0">
      <w:start w:val="1"/>
      <w:numFmt w:val="decimal"/>
      <w:suff w:val="nothing"/>
      <w:lvlText w:val="%1%2.%3.%4　"/>
      <w:lvlJc w:val="left"/>
      <w:pPr>
        <w:ind w:left="735" w:firstLine="0"/>
      </w:pPr>
      <w:rPr>
        <w:rFonts w:hint="eastAsia" w:ascii="黑体" w:hAnsi="Times New Roman" w:eastAsia="黑体"/>
        <w:b w:val="0"/>
        <w:i w:val="0"/>
        <w:sz w:val="21"/>
      </w:rPr>
    </w:lvl>
    <w:lvl w:ilvl="4" w:tentative="0">
      <w:start w:val="1"/>
      <w:numFmt w:val="decimal"/>
      <w:suff w:val="nothing"/>
      <w:lvlText w:val="%1%2.%3.%4.%5　"/>
      <w:lvlJc w:val="left"/>
      <w:pPr>
        <w:ind w:left="1050" w:firstLine="0"/>
      </w:pPr>
      <w:rPr>
        <w:rFonts w:hint="eastAsia" w:ascii="黑体" w:hAnsi="Times New Roman" w:eastAsia="黑体"/>
        <w:b w:val="0"/>
        <w:i w:val="0"/>
        <w:sz w:val="21"/>
        <w:szCs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8">
    <w:nsid w:val="75DBC556"/>
    <w:multiLevelType w:val="singleLevel"/>
    <w:tmpl w:val="75DBC556"/>
    <w:lvl w:ilvl="0" w:tentative="0">
      <w:start w:val="1"/>
      <w:numFmt w:val="decimal"/>
      <w:lvlText w:val="%1."/>
      <w:lvlJc w:val="left"/>
      <w:pPr>
        <w:tabs>
          <w:tab w:val="left" w:pos="312"/>
        </w:tabs>
      </w:pPr>
    </w:lvl>
  </w:abstractNum>
  <w:abstractNum w:abstractNumId="39">
    <w:nsid w:val="78A744FB"/>
    <w:multiLevelType w:val="singleLevel"/>
    <w:tmpl w:val="78A744FB"/>
    <w:lvl w:ilvl="0" w:tentative="0">
      <w:start w:val="1"/>
      <w:numFmt w:val="decimal"/>
      <w:lvlText w:val="%1."/>
      <w:lvlJc w:val="left"/>
      <w:pPr>
        <w:tabs>
          <w:tab w:val="left" w:pos="312"/>
        </w:tabs>
      </w:pPr>
    </w:lvl>
  </w:abstractNum>
  <w:abstractNum w:abstractNumId="40">
    <w:nsid w:val="7D4BC680"/>
    <w:multiLevelType w:val="singleLevel"/>
    <w:tmpl w:val="7D4BC680"/>
    <w:lvl w:ilvl="0" w:tentative="0">
      <w:start w:val="1"/>
      <w:numFmt w:val="decimal"/>
      <w:lvlText w:val="%1."/>
      <w:lvlJc w:val="left"/>
      <w:pPr>
        <w:tabs>
          <w:tab w:val="left" w:pos="312"/>
        </w:tabs>
      </w:pPr>
    </w:lvl>
  </w:abstractNum>
  <w:num w:numId="1">
    <w:abstractNumId w:val="29"/>
  </w:num>
  <w:num w:numId="2">
    <w:abstractNumId w:val="37"/>
  </w:num>
  <w:num w:numId="3">
    <w:abstractNumId w:val="13"/>
  </w:num>
  <w:num w:numId="4">
    <w:abstractNumId w:val="19"/>
  </w:num>
  <w:num w:numId="5">
    <w:abstractNumId w:val="39"/>
  </w:num>
  <w:num w:numId="6">
    <w:abstractNumId w:val="16"/>
  </w:num>
  <w:num w:numId="7">
    <w:abstractNumId w:val="33"/>
  </w:num>
  <w:num w:numId="8">
    <w:abstractNumId w:val="40"/>
  </w:num>
  <w:num w:numId="9">
    <w:abstractNumId w:val="30"/>
  </w:num>
  <w:num w:numId="10">
    <w:abstractNumId w:val="31"/>
  </w:num>
  <w:num w:numId="11">
    <w:abstractNumId w:val="12"/>
  </w:num>
  <w:num w:numId="12">
    <w:abstractNumId w:val="28"/>
  </w:num>
  <w:num w:numId="13">
    <w:abstractNumId w:val="36"/>
  </w:num>
  <w:num w:numId="14">
    <w:abstractNumId w:val="14"/>
  </w:num>
  <w:num w:numId="15">
    <w:abstractNumId w:val="21"/>
  </w:num>
  <w:num w:numId="16">
    <w:abstractNumId w:val="23"/>
  </w:num>
  <w:num w:numId="17">
    <w:abstractNumId w:val="35"/>
  </w:num>
  <w:num w:numId="18">
    <w:abstractNumId w:val="34"/>
  </w:num>
  <w:num w:numId="19">
    <w:abstractNumId w:val="9"/>
  </w:num>
  <w:num w:numId="20">
    <w:abstractNumId w:val="5"/>
  </w:num>
  <w:num w:numId="21">
    <w:abstractNumId w:val="27"/>
  </w:num>
  <w:num w:numId="22">
    <w:abstractNumId w:val="10"/>
  </w:num>
  <w:num w:numId="23">
    <w:abstractNumId w:val="22"/>
  </w:num>
  <w:num w:numId="24">
    <w:abstractNumId w:val="8"/>
  </w:num>
  <w:num w:numId="25">
    <w:abstractNumId w:val="0"/>
  </w:num>
  <w:num w:numId="26">
    <w:abstractNumId w:val="32"/>
  </w:num>
  <w:num w:numId="27">
    <w:abstractNumId w:val="20"/>
  </w:num>
  <w:num w:numId="28">
    <w:abstractNumId w:val="7"/>
  </w:num>
  <w:num w:numId="29">
    <w:abstractNumId w:val="38"/>
  </w:num>
  <w:num w:numId="30">
    <w:abstractNumId w:val="6"/>
  </w:num>
  <w:num w:numId="31">
    <w:abstractNumId w:val="17"/>
  </w:num>
  <w:num w:numId="32">
    <w:abstractNumId w:val="25"/>
  </w:num>
  <w:num w:numId="33">
    <w:abstractNumId w:val="4"/>
  </w:num>
  <w:num w:numId="34">
    <w:abstractNumId w:val="24"/>
  </w:num>
  <w:num w:numId="35">
    <w:abstractNumId w:val="1"/>
  </w:num>
  <w:num w:numId="36">
    <w:abstractNumId w:val="11"/>
  </w:num>
  <w:num w:numId="37">
    <w:abstractNumId w:val="26"/>
  </w:num>
  <w:num w:numId="38">
    <w:abstractNumId w:val="15"/>
  </w:num>
  <w:num w:numId="39">
    <w:abstractNumId w:val="3"/>
  </w:num>
  <w:num w:numId="40">
    <w:abstractNumId w:val="2"/>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yMGUxNWJlZjk2ODY1ZDdiNDI3ZjYyZDMyZGE2MzYifQ=="/>
  </w:docVars>
  <w:rsids>
    <w:rsidRoot w:val="26990BE6"/>
    <w:rsid w:val="003577A2"/>
    <w:rsid w:val="01150B21"/>
    <w:rsid w:val="01172A03"/>
    <w:rsid w:val="012531F6"/>
    <w:rsid w:val="01361677"/>
    <w:rsid w:val="01A324E9"/>
    <w:rsid w:val="02080F1A"/>
    <w:rsid w:val="02160F0D"/>
    <w:rsid w:val="021F6013"/>
    <w:rsid w:val="021F6FC3"/>
    <w:rsid w:val="022634AB"/>
    <w:rsid w:val="02361677"/>
    <w:rsid w:val="023A7CBD"/>
    <w:rsid w:val="024261A6"/>
    <w:rsid w:val="02760CA4"/>
    <w:rsid w:val="027E09D4"/>
    <w:rsid w:val="02C46BBB"/>
    <w:rsid w:val="02EE59E6"/>
    <w:rsid w:val="037405E1"/>
    <w:rsid w:val="03910EAA"/>
    <w:rsid w:val="03CC21CB"/>
    <w:rsid w:val="03F434D0"/>
    <w:rsid w:val="040D7A92"/>
    <w:rsid w:val="0415771B"/>
    <w:rsid w:val="049F343C"/>
    <w:rsid w:val="04A42800"/>
    <w:rsid w:val="04E4640D"/>
    <w:rsid w:val="04F27A0F"/>
    <w:rsid w:val="05096B07"/>
    <w:rsid w:val="05482261"/>
    <w:rsid w:val="05BE041F"/>
    <w:rsid w:val="069246D4"/>
    <w:rsid w:val="06952D48"/>
    <w:rsid w:val="06B932D6"/>
    <w:rsid w:val="07B436A2"/>
    <w:rsid w:val="07CA0D41"/>
    <w:rsid w:val="07D478A0"/>
    <w:rsid w:val="07DE427B"/>
    <w:rsid w:val="08145EEF"/>
    <w:rsid w:val="08346563"/>
    <w:rsid w:val="088E5CA1"/>
    <w:rsid w:val="08F04266"/>
    <w:rsid w:val="09102B5A"/>
    <w:rsid w:val="09402CE6"/>
    <w:rsid w:val="09532A47"/>
    <w:rsid w:val="097B5A0D"/>
    <w:rsid w:val="09AD2157"/>
    <w:rsid w:val="09E27152"/>
    <w:rsid w:val="09F616C1"/>
    <w:rsid w:val="0A254D41"/>
    <w:rsid w:val="0A342878"/>
    <w:rsid w:val="0A374116"/>
    <w:rsid w:val="0A560A40"/>
    <w:rsid w:val="0A59772B"/>
    <w:rsid w:val="0A611922"/>
    <w:rsid w:val="0A887803"/>
    <w:rsid w:val="0A8C6F70"/>
    <w:rsid w:val="0AA03B4A"/>
    <w:rsid w:val="0AF06C66"/>
    <w:rsid w:val="0AF618DB"/>
    <w:rsid w:val="0BE45BD8"/>
    <w:rsid w:val="0C536A10"/>
    <w:rsid w:val="0C9223E1"/>
    <w:rsid w:val="0C9C5FF3"/>
    <w:rsid w:val="0CEA36C2"/>
    <w:rsid w:val="0CEC11E8"/>
    <w:rsid w:val="0CF167FE"/>
    <w:rsid w:val="0D4E2F37"/>
    <w:rsid w:val="0D837D9E"/>
    <w:rsid w:val="0DA54FE7"/>
    <w:rsid w:val="0DB50EA8"/>
    <w:rsid w:val="0DBE2B84"/>
    <w:rsid w:val="0DFA594D"/>
    <w:rsid w:val="0E2055ED"/>
    <w:rsid w:val="0ED87C76"/>
    <w:rsid w:val="0F31382A"/>
    <w:rsid w:val="0F3A5CFC"/>
    <w:rsid w:val="0F73174D"/>
    <w:rsid w:val="0F9D2C6D"/>
    <w:rsid w:val="0FE53E96"/>
    <w:rsid w:val="100C57E1"/>
    <w:rsid w:val="10AF2C58"/>
    <w:rsid w:val="117369BF"/>
    <w:rsid w:val="11AE1162"/>
    <w:rsid w:val="11FC5E34"/>
    <w:rsid w:val="123C051C"/>
    <w:rsid w:val="12C549B5"/>
    <w:rsid w:val="130970C4"/>
    <w:rsid w:val="135F0966"/>
    <w:rsid w:val="13897791"/>
    <w:rsid w:val="13C108A5"/>
    <w:rsid w:val="13CC2813"/>
    <w:rsid w:val="13D23A42"/>
    <w:rsid w:val="13D911EC"/>
    <w:rsid w:val="13E972C9"/>
    <w:rsid w:val="140F7FC9"/>
    <w:rsid w:val="141C0DCF"/>
    <w:rsid w:val="147541B9"/>
    <w:rsid w:val="14AE3227"/>
    <w:rsid w:val="15003A82"/>
    <w:rsid w:val="152C71B6"/>
    <w:rsid w:val="15DB629E"/>
    <w:rsid w:val="15E6324E"/>
    <w:rsid w:val="16341CDF"/>
    <w:rsid w:val="16AF07B0"/>
    <w:rsid w:val="16ED6288"/>
    <w:rsid w:val="16F45869"/>
    <w:rsid w:val="17285513"/>
    <w:rsid w:val="174165D4"/>
    <w:rsid w:val="176F4EEF"/>
    <w:rsid w:val="17942BA8"/>
    <w:rsid w:val="17C52D61"/>
    <w:rsid w:val="17DB33A7"/>
    <w:rsid w:val="1886020F"/>
    <w:rsid w:val="188A5FFF"/>
    <w:rsid w:val="188D2AE3"/>
    <w:rsid w:val="18D4322E"/>
    <w:rsid w:val="18E15979"/>
    <w:rsid w:val="18FF22A3"/>
    <w:rsid w:val="193B3162"/>
    <w:rsid w:val="19850175"/>
    <w:rsid w:val="199724DC"/>
    <w:rsid w:val="1A2B77F4"/>
    <w:rsid w:val="1A2D5A2A"/>
    <w:rsid w:val="1A40430B"/>
    <w:rsid w:val="1A526059"/>
    <w:rsid w:val="1A8213DE"/>
    <w:rsid w:val="1A8D322C"/>
    <w:rsid w:val="1AE71241"/>
    <w:rsid w:val="1AF8344E"/>
    <w:rsid w:val="1B414DF5"/>
    <w:rsid w:val="1B8C2514"/>
    <w:rsid w:val="1BE96AFB"/>
    <w:rsid w:val="1C326979"/>
    <w:rsid w:val="1C4701E9"/>
    <w:rsid w:val="1C777CB6"/>
    <w:rsid w:val="1CDF6673"/>
    <w:rsid w:val="1D2D2709"/>
    <w:rsid w:val="1DC6338F"/>
    <w:rsid w:val="1DDA1BEE"/>
    <w:rsid w:val="1E2A6014"/>
    <w:rsid w:val="1E3A434A"/>
    <w:rsid w:val="1E414D3D"/>
    <w:rsid w:val="1E5427C8"/>
    <w:rsid w:val="1E6058EF"/>
    <w:rsid w:val="1E6A6411"/>
    <w:rsid w:val="1EA35913"/>
    <w:rsid w:val="1ED66624"/>
    <w:rsid w:val="1F0966CF"/>
    <w:rsid w:val="1F234F3D"/>
    <w:rsid w:val="1F520E6A"/>
    <w:rsid w:val="1F66307C"/>
    <w:rsid w:val="1F8A4FBC"/>
    <w:rsid w:val="1FBE07C2"/>
    <w:rsid w:val="1FCA53B9"/>
    <w:rsid w:val="1FF57F5C"/>
    <w:rsid w:val="20AA0721"/>
    <w:rsid w:val="20B83463"/>
    <w:rsid w:val="2116462E"/>
    <w:rsid w:val="217B3448"/>
    <w:rsid w:val="21871088"/>
    <w:rsid w:val="21A83773"/>
    <w:rsid w:val="226D75CB"/>
    <w:rsid w:val="227A63D2"/>
    <w:rsid w:val="22853819"/>
    <w:rsid w:val="228C104B"/>
    <w:rsid w:val="22B37179"/>
    <w:rsid w:val="22C04851"/>
    <w:rsid w:val="22C5441E"/>
    <w:rsid w:val="23163E7E"/>
    <w:rsid w:val="23315DDC"/>
    <w:rsid w:val="23566F63"/>
    <w:rsid w:val="23D42CAA"/>
    <w:rsid w:val="243F3E9B"/>
    <w:rsid w:val="245722C1"/>
    <w:rsid w:val="24665464"/>
    <w:rsid w:val="246B4C91"/>
    <w:rsid w:val="248F097F"/>
    <w:rsid w:val="24C06D8A"/>
    <w:rsid w:val="25506360"/>
    <w:rsid w:val="25BA1A2C"/>
    <w:rsid w:val="25D86356"/>
    <w:rsid w:val="25E77139"/>
    <w:rsid w:val="25EA5925"/>
    <w:rsid w:val="25FC0BA2"/>
    <w:rsid w:val="26013AFE"/>
    <w:rsid w:val="26076A33"/>
    <w:rsid w:val="26432D7B"/>
    <w:rsid w:val="26435B6E"/>
    <w:rsid w:val="264506CE"/>
    <w:rsid w:val="265C2AE3"/>
    <w:rsid w:val="266B541C"/>
    <w:rsid w:val="26826FA0"/>
    <w:rsid w:val="26990BE6"/>
    <w:rsid w:val="26C32B62"/>
    <w:rsid w:val="270E2A3A"/>
    <w:rsid w:val="27C923FA"/>
    <w:rsid w:val="27E23E17"/>
    <w:rsid w:val="28110526"/>
    <w:rsid w:val="281573ED"/>
    <w:rsid w:val="28292E99"/>
    <w:rsid w:val="285C1CF2"/>
    <w:rsid w:val="28846321"/>
    <w:rsid w:val="28B704A4"/>
    <w:rsid w:val="28D9041B"/>
    <w:rsid w:val="28DE61E0"/>
    <w:rsid w:val="28F42C09"/>
    <w:rsid w:val="292E0F9E"/>
    <w:rsid w:val="29470A2F"/>
    <w:rsid w:val="294E4079"/>
    <w:rsid w:val="29804D3A"/>
    <w:rsid w:val="299F54DA"/>
    <w:rsid w:val="29A22F02"/>
    <w:rsid w:val="29C01243"/>
    <w:rsid w:val="29C54E43"/>
    <w:rsid w:val="29CC08B5"/>
    <w:rsid w:val="29D60DFE"/>
    <w:rsid w:val="29FF21BF"/>
    <w:rsid w:val="2AA37AE9"/>
    <w:rsid w:val="2ADB59A9"/>
    <w:rsid w:val="2B200583"/>
    <w:rsid w:val="2B2220B7"/>
    <w:rsid w:val="2B234681"/>
    <w:rsid w:val="2B355689"/>
    <w:rsid w:val="2B512E32"/>
    <w:rsid w:val="2B662F45"/>
    <w:rsid w:val="2B920D55"/>
    <w:rsid w:val="2BAF7B59"/>
    <w:rsid w:val="2BB92785"/>
    <w:rsid w:val="2BBC6656"/>
    <w:rsid w:val="2BD46F7D"/>
    <w:rsid w:val="2BF10171"/>
    <w:rsid w:val="2C183950"/>
    <w:rsid w:val="2D4C278A"/>
    <w:rsid w:val="2D7D7F0E"/>
    <w:rsid w:val="2E5909DA"/>
    <w:rsid w:val="2E8B7050"/>
    <w:rsid w:val="2E9D1EEA"/>
    <w:rsid w:val="2F582574"/>
    <w:rsid w:val="2F6D5D61"/>
    <w:rsid w:val="2F776BDF"/>
    <w:rsid w:val="2F9C510D"/>
    <w:rsid w:val="30085A89"/>
    <w:rsid w:val="30234671"/>
    <w:rsid w:val="30330D58"/>
    <w:rsid w:val="30352A6B"/>
    <w:rsid w:val="3140197F"/>
    <w:rsid w:val="31762116"/>
    <w:rsid w:val="317E4255"/>
    <w:rsid w:val="31F2254D"/>
    <w:rsid w:val="32D7038C"/>
    <w:rsid w:val="332F60A6"/>
    <w:rsid w:val="33A65CE5"/>
    <w:rsid w:val="34032639"/>
    <w:rsid w:val="341C3168"/>
    <w:rsid w:val="342235BE"/>
    <w:rsid w:val="348E47AF"/>
    <w:rsid w:val="34D523DE"/>
    <w:rsid w:val="35010862"/>
    <w:rsid w:val="35134CB4"/>
    <w:rsid w:val="351A4295"/>
    <w:rsid w:val="352944D8"/>
    <w:rsid w:val="35441312"/>
    <w:rsid w:val="358E07DF"/>
    <w:rsid w:val="359C73A0"/>
    <w:rsid w:val="35DE52C2"/>
    <w:rsid w:val="362A3A8B"/>
    <w:rsid w:val="3663062D"/>
    <w:rsid w:val="369B1405"/>
    <w:rsid w:val="3775506E"/>
    <w:rsid w:val="37A40570"/>
    <w:rsid w:val="37D72911"/>
    <w:rsid w:val="37FF2CDF"/>
    <w:rsid w:val="383E029A"/>
    <w:rsid w:val="38C70704"/>
    <w:rsid w:val="38D62BC9"/>
    <w:rsid w:val="38D96215"/>
    <w:rsid w:val="38EA0422"/>
    <w:rsid w:val="3925145A"/>
    <w:rsid w:val="393F251C"/>
    <w:rsid w:val="3971469F"/>
    <w:rsid w:val="39B2192F"/>
    <w:rsid w:val="39FF3A59"/>
    <w:rsid w:val="3A241712"/>
    <w:rsid w:val="3A2D4A6A"/>
    <w:rsid w:val="3A5C3E46"/>
    <w:rsid w:val="3A5E5885"/>
    <w:rsid w:val="3A83468A"/>
    <w:rsid w:val="3AAC1E33"/>
    <w:rsid w:val="3AAC2AB2"/>
    <w:rsid w:val="3AE56469"/>
    <w:rsid w:val="3AF21A1E"/>
    <w:rsid w:val="3AF905C0"/>
    <w:rsid w:val="3B442853"/>
    <w:rsid w:val="3B4C2CCE"/>
    <w:rsid w:val="3B9F3746"/>
    <w:rsid w:val="3BF66F2E"/>
    <w:rsid w:val="3C3A521C"/>
    <w:rsid w:val="3C6877D4"/>
    <w:rsid w:val="3C695FAF"/>
    <w:rsid w:val="3CE277AA"/>
    <w:rsid w:val="3D1D0DC6"/>
    <w:rsid w:val="3D3954D4"/>
    <w:rsid w:val="3D5C1AA3"/>
    <w:rsid w:val="3D8C5F4C"/>
    <w:rsid w:val="3D9902F3"/>
    <w:rsid w:val="3DEA29AB"/>
    <w:rsid w:val="3E104487"/>
    <w:rsid w:val="3E3D0FF4"/>
    <w:rsid w:val="3E47624E"/>
    <w:rsid w:val="3E5A603B"/>
    <w:rsid w:val="3E636CAD"/>
    <w:rsid w:val="3E817133"/>
    <w:rsid w:val="3EA90437"/>
    <w:rsid w:val="3EB2553E"/>
    <w:rsid w:val="3EDD0668"/>
    <w:rsid w:val="3F2C52F0"/>
    <w:rsid w:val="3F686BBC"/>
    <w:rsid w:val="3F6B48A4"/>
    <w:rsid w:val="3FDB0AC5"/>
    <w:rsid w:val="3FED7B60"/>
    <w:rsid w:val="4000052B"/>
    <w:rsid w:val="404A20B4"/>
    <w:rsid w:val="405014B2"/>
    <w:rsid w:val="4091073C"/>
    <w:rsid w:val="40923879"/>
    <w:rsid w:val="40D45C40"/>
    <w:rsid w:val="40E35E83"/>
    <w:rsid w:val="40ED4F53"/>
    <w:rsid w:val="40EE65D6"/>
    <w:rsid w:val="411405EC"/>
    <w:rsid w:val="41C55588"/>
    <w:rsid w:val="42417305"/>
    <w:rsid w:val="425443A8"/>
    <w:rsid w:val="42785D1A"/>
    <w:rsid w:val="42C45840"/>
    <w:rsid w:val="42D77C69"/>
    <w:rsid w:val="42F04887"/>
    <w:rsid w:val="42F8373B"/>
    <w:rsid w:val="43192030"/>
    <w:rsid w:val="431A1904"/>
    <w:rsid w:val="43211E2D"/>
    <w:rsid w:val="434B36F4"/>
    <w:rsid w:val="438657FD"/>
    <w:rsid w:val="439F30B0"/>
    <w:rsid w:val="443D58AA"/>
    <w:rsid w:val="44427364"/>
    <w:rsid w:val="447A08AC"/>
    <w:rsid w:val="44967C16"/>
    <w:rsid w:val="44D2454B"/>
    <w:rsid w:val="45154A79"/>
    <w:rsid w:val="453C3DB3"/>
    <w:rsid w:val="4541644A"/>
    <w:rsid w:val="45886FF9"/>
    <w:rsid w:val="459E6B91"/>
    <w:rsid w:val="45A914DC"/>
    <w:rsid w:val="45AC718B"/>
    <w:rsid w:val="46004DE1"/>
    <w:rsid w:val="460846A2"/>
    <w:rsid w:val="468210E2"/>
    <w:rsid w:val="469A6FE4"/>
    <w:rsid w:val="469A7712"/>
    <w:rsid w:val="470703F1"/>
    <w:rsid w:val="473F33F0"/>
    <w:rsid w:val="475D2918"/>
    <w:rsid w:val="476F19B6"/>
    <w:rsid w:val="47A64587"/>
    <w:rsid w:val="4824427F"/>
    <w:rsid w:val="48496F13"/>
    <w:rsid w:val="48693111"/>
    <w:rsid w:val="4871646A"/>
    <w:rsid w:val="487815A6"/>
    <w:rsid w:val="49975A5C"/>
    <w:rsid w:val="4A054AA4"/>
    <w:rsid w:val="4A0F5F3A"/>
    <w:rsid w:val="4A2D016F"/>
    <w:rsid w:val="4A68007C"/>
    <w:rsid w:val="4A897A9B"/>
    <w:rsid w:val="4AE71713"/>
    <w:rsid w:val="4B0949E0"/>
    <w:rsid w:val="4B0F6F0C"/>
    <w:rsid w:val="4B2E0642"/>
    <w:rsid w:val="4B4C5516"/>
    <w:rsid w:val="4B6D0F55"/>
    <w:rsid w:val="4BAB6DCF"/>
    <w:rsid w:val="4BF61160"/>
    <w:rsid w:val="4C2428A3"/>
    <w:rsid w:val="4C2B6930"/>
    <w:rsid w:val="4C520360"/>
    <w:rsid w:val="4C8B6016"/>
    <w:rsid w:val="4D0C49B3"/>
    <w:rsid w:val="4D16138E"/>
    <w:rsid w:val="4D193597"/>
    <w:rsid w:val="4D225F85"/>
    <w:rsid w:val="4DA90454"/>
    <w:rsid w:val="4DDE60C6"/>
    <w:rsid w:val="4E720846"/>
    <w:rsid w:val="4E843A53"/>
    <w:rsid w:val="4EC93451"/>
    <w:rsid w:val="4ECF3EEA"/>
    <w:rsid w:val="4F256F26"/>
    <w:rsid w:val="4F75488C"/>
    <w:rsid w:val="4F8847C5"/>
    <w:rsid w:val="4FB57705"/>
    <w:rsid w:val="4FD86DCF"/>
    <w:rsid w:val="500D0670"/>
    <w:rsid w:val="501E5109"/>
    <w:rsid w:val="502D2C76"/>
    <w:rsid w:val="50485D02"/>
    <w:rsid w:val="50C01B7C"/>
    <w:rsid w:val="50D94BAC"/>
    <w:rsid w:val="510F4A72"/>
    <w:rsid w:val="51823496"/>
    <w:rsid w:val="51E56853"/>
    <w:rsid w:val="522400A9"/>
    <w:rsid w:val="525F10E1"/>
    <w:rsid w:val="52691F60"/>
    <w:rsid w:val="526C43DD"/>
    <w:rsid w:val="52872CB4"/>
    <w:rsid w:val="528A1650"/>
    <w:rsid w:val="52AC6928"/>
    <w:rsid w:val="533C7AC9"/>
    <w:rsid w:val="5362532D"/>
    <w:rsid w:val="537D3F15"/>
    <w:rsid w:val="5452125E"/>
    <w:rsid w:val="54596730"/>
    <w:rsid w:val="54A37489"/>
    <w:rsid w:val="55592760"/>
    <w:rsid w:val="557E2768"/>
    <w:rsid w:val="558C043F"/>
    <w:rsid w:val="55D2615F"/>
    <w:rsid w:val="55ED79D3"/>
    <w:rsid w:val="56072502"/>
    <w:rsid w:val="56554380"/>
    <w:rsid w:val="56554CD5"/>
    <w:rsid w:val="567F3A81"/>
    <w:rsid w:val="56AD75FB"/>
    <w:rsid w:val="56DF417F"/>
    <w:rsid w:val="56F7654C"/>
    <w:rsid w:val="570D0833"/>
    <w:rsid w:val="57727B09"/>
    <w:rsid w:val="577E025B"/>
    <w:rsid w:val="57832F0A"/>
    <w:rsid w:val="5787516D"/>
    <w:rsid w:val="57AF32E4"/>
    <w:rsid w:val="57B7680D"/>
    <w:rsid w:val="57F64296"/>
    <w:rsid w:val="582C415B"/>
    <w:rsid w:val="58492617"/>
    <w:rsid w:val="589F0489"/>
    <w:rsid w:val="58D00F8B"/>
    <w:rsid w:val="58D8399B"/>
    <w:rsid w:val="58FA484A"/>
    <w:rsid w:val="58FF717A"/>
    <w:rsid w:val="591C1ADA"/>
    <w:rsid w:val="59587EEF"/>
    <w:rsid w:val="595B4CF8"/>
    <w:rsid w:val="59EE16C8"/>
    <w:rsid w:val="5A0E3B19"/>
    <w:rsid w:val="5A1924BD"/>
    <w:rsid w:val="5A1B6236"/>
    <w:rsid w:val="5A6000EC"/>
    <w:rsid w:val="5A72647D"/>
    <w:rsid w:val="5AC643F3"/>
    <w:rsid w:val="5AE83694"/>
    <w:rsid w:val="5B394BC5"/>
    <w:rsid w:val="5B400EA9"/>
    <w:rsid w:val="5B6F3FE4"/>
    <w:rsid w:val="5B724974"/>
    <w:rsid w:val="5BAD110F"/>
    <w:rsid w:val="5BCB0D3D"/>
    <w:rsid w:val="5BEEFEA3"/>
    <w:rsid w:val="5C0C4088"/>
    <w:rsid w:val="5C4C1E77"/>
    <w:rsid w:val="5C675762"/>
    <w:rsid w:val="5C9B365E"/>
    <w:rsid w:val="5C9D73D6"/>
    <w:rsid w:val="5CE46DB3"/>
    <w:rsid w:val="5D086F45"/>
    <w:rsid w:val="5D2638CB"/>
    <w:rsid w:val="5D6E48CE"/>
    <w:rsid w:val="5D7E7207"/>
    <w:rsid w:val="5D8635A6"/>
    <w:rsid w:val="5E1377F0"/>
    <w:rsid w:val="5E2B24BF"/>
    <w:rsid w:val="5E6261E1"/>
    <w:rsid w:val="5E7457CA"/>
    <w:rsid w:val="5E926D8C"/>
    <w:rsid w:val="5F2841DA"/>
    <w:rsid w:val="5F3758C0"/>
    <w:rsid w:val="5F5E1B86"/>
    <w:rsid w:val="5FD64C3D"/>
    <w:rsid w:val="5FDB26EF"/>
    <w:rsid w:val="605129B1"/>
    <w:rsid w:val="605204D7"/>
    <w:rsid w:val="60787F3E"/>
    <w:rsid w:val="618F19E3"/>
    <w:rsid w:val="61FE26C5"/>
    <w:rsid w:val="62373E29"/>
    <w:rsid w:val="623936FD"/>
    <w:rsid w:val="62E278F0"/>
    <w:rsid w:val="62E47B0C"/>
    <w:rsid w:val="62E573E1"/>
    <w:rsid w:val="63141A74"/>
    <w:rsid w:val="6320666B"/>
    <w:rsid w:val="63220635"/>
    <w:rsid w:val="634C56B2"/>
    <w:rsid w:val="639130C5"/>
    <w:rsid w:val="63D33EAB"/>
    <w:rsid w:val="64243F39"/>
    <w:rsid w:val="6435469C"/>
    <w:rsid w:val="64371EBE"/>
    <w:rsid w:val="64740A1C"/>
    <w:rsid w:val="64773317"/>
    <w:rsid w:val="64E85052"/>
    <w:rsid w:val="65000502"/>
    <w:rsid w:val="65404DA2"/>
    <w:rsid w:val="65593B74"/>
    <w:rsid w:val="662A7F2C"/>
    <w:rsid w:val="66886A01"/>
    <w:rsid w:val="669E7FD2"/>
    <w:rsid w:val="66AF3F8D"/>
    <w:rsid w:val="66E73B59"/>
    <w:rsid w:val="6758395D"/>
    <w:rsid w:val="677E3975"/>
    <w:rsid w:val="67927055"/>
    <w:rsid w:val="67B57CC9"/>
    <w:rsid w:val="67DC68BE"/>
    <w:rsid w:val="687D430B"/>
    <w:rsid w:val="688E1D41"/>
    <w:rsid w:val="697F11AD"/>
    <w:rsid w:val="69DC0762"/>
    <w:rsid w:val="6A0D5D76"/>
    <w:rsid w:val="6A567096"/>
    <w:rsid w:val="6A6B0B13"/>
    <w:rsid w:val="6AB37DC4"/>
    <w:rsid w:val="6AED1528"/>
    <w:rsid w:val="6AF65F76"/>
    <w:rsid w:val="6AFC176B"/>
    <w:rsid w:val="6B3B6738"/>
    <w:rsid w:val="6B43460A"/>
    <w:rsid w:val="6B491630"/>
    <w:rsid w:val="6B72383C"/>
    <w:rsid w:val="6C4C6AF0"/>
    <w:rsid w:val="6C522CF8"/>
    <w:rsid w:val="6C8D1EA8"/>
    <w:rsid w:val="6CC30793"/>
    <w:rsid w:val="6CC8224D"/>
    <w:rsid w:val="6CE95D1F"/>
    <w:rsid w:val="6CED29CE"/>
    <w:rsid w:val="6CF272CA"/>
    <w:rsid w:val="6D3279D3"/>
    <w:rsid w:val="6D742477"/>
    <w:rsid w:val="6DC742B3"/>
    <w:rsid w:val="6DEE5CE3"/>
    <w:rsid w:val="6E1C7B05"/>
    <w:rsid w:val="6E7004A6"/>
    <w:rsid w:val="6EA74844"/>
    <w:rsid w:val="6EE41C7E"/>
    <w:rsid w:val="6F054B5F"/>
    <w:rsid w:val="6F0D03EB"/>
    <w:rsid w:val="6F6163B5"/>
    <w:rsid w:val="6F9E42AF"/>
    <w:rsid w:val="6FD35191"/>
    <w:rsid w:val="6FFE5F86"/>
    <w:rsid w:val="70A628A5"/>
    <w:rsid w:val="70EE4EC4"/>
    <w:rsid w:val="70F73101"/>
    <w:rsid w:val="71094BE2"/>
    <w:rsid w:val="71241A1C"/>
    <w:rsid w:val="712D267F"/>
    <w:rsid w:val="71333A0D"/>
    <w:rsid w:val="715D09E7"/>
    <w:rsid w:val="716B5189"/>
    <w:rsid w:val="71724502"/>
    <w:rsid w:val="72534367"/>
    <w:rsid w:val="726C367A"/>
    <w:rsid w:val="727F059A"/>
    <w:rsid w:val="728413A6"/>
    <w:rsid w:val="729A3D44"/>
    <w:rsid w:val="72D1172F"/>
    <w:rsid w:val="738B17CA"/>
    <w:rsid w:val="73D16B38"/>
    <w:rsid w:val="73E84F83"/>
    <w:rsid w:val="745253E2"/>
    <w:rsid w:val="74AE3AD6"/>
    <w:rsid w:val="754E7067"/>
    <w:rsid w:val="760503EB"/>
    <w:rsid w:val="7629074B"/>
    <w:rsid w:val="763A6438"/>
    <w:rsid w:val="76D0185E"/>
    <w:rsid w:val="76F310A1"/>
    <w:rsid w:val="77304C77"/>
    <w:rsid w:val="7731418C"/>
    <w:rsid w:val="774D3A7A"/>
    <w:rsid w:val="77A04190"/>
    <w:rsid w:val="77BB0FB7"/>
    <w:rsid w:val="77ED067C"/>
    <w:rsid w:val="783764D9"/>
    <w:rsid w:val="78641C43"/>
    <w:rsid w:val="78C7160B"/>
    <w:rsid w:val="78CC4E73"/>
    <w:rsid w:val="78D308AD"/>
    <w:rsid w:val="78E63D5F"/>
    <w:rsid w:val="7981553E"/>
    <w:rsid w:val="79EB058C"/>
    <w:rsid w:val="79F35DE6"/>
    <w:rsid w:val="7A106FE1"/>
    <w:rsid w:val="7A1A39BC"/>
    <w:rsid w:val="7A304838"/>
    <w:rsid w:val="7A4D1FE3"/>
    <w:rsid w:val="7A513882"/>
    <w:rsid w:val="7A684727"/>
    <w:rsid w:val="7A7A445B"/>
    <w:rsid w:val="7A94450E"/>
    <w:rsid w:val="7AA00365"/>
    <w:rsid w:val="7B0A3A31"/>
    <w:rsid w:val="7B1A0118"/>
    <w:rsid w:val="7B6E1B84"/>
    <w:rsid w:val="7BF32717"/>
    <w:rsid w:val="7BFD3595"/>
    <w:rsid w:val="7C190034"/>
    <w:rsid w:val="7C65016F"/>
    <w:rsid w:val="7CBB5779"/>
    <w:rsid w:val="7D6F7F49"/>
    <w:rsid w:val="7E1907B6"/>
    <w:rsid w:val="7E3F60E7"/>
    <w:rsid w:val="7E4B4A8C"/>
    <w:rsid w:val="7E6D0329"/>
    <w:rsid w:val="7E8D6433"/>
    <w:rsid w:val="7ECC6DC5"/>
    <w:rsid w:val="7EE12CFA"/>
    <w:rsid w:val="7EE84089"/>
    <w:rsid w:val="7EF02F3D"/>
    <w:rsid w:val="7F1B620C"/>
    <w:rsid w:val="7F565CF2"/>
    <w:rsid w:val="7F6B5BF7"/>
    <w:rsid w:val="7F855D7C"/>
    <w:rsid w:val="7FBA6FEC"/>
    <w:rsid w:val="7FFB2B17"/>
    <w:rsid w:val="9D0FA8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5">
    <w:name w:val="heading 2"/>
    <w:basedOn w:val="1"/>
    <w:next w:val="1"/>
    <w:semiHidden/>
    <w:unhideWhenUsed/>
    <w:qFormat/>
    <w:uiPriority w:val="0"/>
    <w:pPr>
      <w:spacing w:before="168" w:beforeAutospacing="0" w:after="63" w:afterAutospacing="0"/>
      <w:ind w:left="0" w:right="0"/>
      <w:jc w:val="left"/>
    </w:pPr>
    <w:rPr>
      <w:rFonts w:ascii="微软雅黑" w:hAnsi="微软雅黑" w:eastAsia="微软雅黑" w:cs="微软雅黑"/>
      <w:b/>
      <w:color w:val="006DBA"/>
      <w:kern w:val="0"/>
      <w:sz w:val="22"/>
      <w:szCs w:val="22"/>
      <w:lang w:val="en-US" w:eastAsia="zh-CN" w:bidi="ar"/>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ind w:left="200" w:leftChars="200" w:firstLine="420" w:firstLineChars="200"/>
    </w:pPr>
    <w:rPr>
      <w:rFonts w:ascii="Times New Roman"/>
    </w:rPr>
  </w:style>
  <w:style w:type="paragraph" w:styleId="3">
    <w:name w:val="Body Text Indent"/>
    <w:basedOn w:val="1"/>
    <w:qFormat/>
    <w:uiPriority w:val="0"/>
    <w:pPr>
      <w:ind w:left="420"/>
    </w:pPr>
    <w:rPr>
      <w:rFonts w:ascii="仿宋_GB2312" w:eastAsia="仿宋_GB2312"/>
      <w:sz w:val="32"/>
    </w:rPr>
  </w:style>
  <w:style w:type="paragraph" w:styleId="7">
    <w:name w:val="annotation text"/>
    <w:basedOn w:val="1"/>
    <w:qFormat/>
    <w:uiPriority w:val="0"/>
    <w:pPr>
      <w:jc w:val="left"/>
    </w:pPr>
  </w:style>
  <w:style w:type="paragraph" w:styleId="8">
    <w:name w:val="Body Text"/>
    <w:basedOn w:val="1"/>
    <w:qFormat/>
    <w:uiPriority w:val="0"/>
    <w:pPr>
      <w:spacing w:after="120"/>
    </w:pPr>
    <w:rPr>
      <w:rFonts w:cs="Times New Roman"/>
      <w:szCs w:val="24"/>
    </w:rPr>
  </w:style>
  <w:style w:type="paragraph" w:styleId="9">
    <w:name w:val="HTML Preformatted"/>
    <w:basedOn w:val="1"/>
    <w:qFormat/>
    <w:uiPriority w:val="0"/>
    <w:pPr>
      <w:shd w:val="clear" w:fill="E0EC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textAlignment w:val="top"/>
    </w:pPr>
    <w:rPr>
      <w:rFonts w:hint="eastAsia" w:ascii="宋体" w:hAnsi="宋体" w:eastAsia="宋体" w:cs="宋体"/>
      <w:kern w:val="0"/>
      <w:sz w:val="24"/>
      <w:szCs w:val="24"/>
      <w:lang w:val="en-US" w:eastAsia="zh-CN" w:bidi="ar"/>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1">
    <w:name w:val="Body Text First Indent"/>
    <w:basedOn w:val="8"/>
    <w:qFormat/>
    <w:uiPriority w:val="0"/>
    <w:pPr>
      <w:ind w:firstLine="420" w:firstLineChars="100"/>
    </w:pPr>
    <w:rPr>
      <w:kern w:val="0"/>
      <w:sz w:val="24"/>
    </w:r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Strong"/>
    <w:basedOn w:val="14"/>
    <w:qFormat/>
    <w:uiPriority w:val="0"/>
    <w:rPr>
      <w:b/>
    </w:rPr>
  </w:style>
  <w:style w:type="character" w:styleId="16">
    <w:name w:val="FollowedHyperlink"/>
    <w:basedOn w:val="14"/>
    <w:qFormat/>
    <w:uiPriority w:val="0"/>
    <w:rPr>
      <w:color w:val="800080"/>
      <w:u w:val="none"/>
    </w:rPr>
  </w:style>
  <w:style w:type="character" w:styleId="17">
    <w:name w:val="Hyperlink"/>
    <w:basedOn w:val="14"/>
    <w:qFormat/>
    <w:uiPriority w:val="0"/>
    <w:rPr>
      <w:color w:val="0000FF"/>
      <w:u w:val="none"/>
    </w:rPr>
  </w:style>
  <w:style w:type="character" w:customStyle="1" w:styleId="18">
    <w:name w:val="l-btn-left"/>
    <w:basedOn w:val="14"/>
    <w:qFormat/>
    <w:uiPriority w:val="0"/>
  </w:style>
  <w:style w:type="character" w:customStyle="1" w:styleId="19">
    <w:name w:val="l-btn-left1"/>
    <w:basedOn w:val="14"/>
    <w:qFormat/>
    <w:uiPriority w:val="0"/>
  </w:style>
  <w:style w:type="character" w:customStyle="1" w:styleId="20">
    <w:name w:val="l-btn-left2"/>
    <w:basedOn w:val="14"/>
    <w:qFormat/>
    <w:uiPriority w:val="0"/>
  </w:style>
  <w:style w:type="character" w:customStyle="1" w:styleId="21">
    <w:name w:val="l-btn-left3"/>
    <w:basedOn w:val="14"/>
    <w:qFormat/>
    <w:uiPriority w:val="0"/>
  </w:style>
  <w:style w:type="character" w:customStyle="1" w:styleId="22">
    <w:name w:val="l-btn-text"/>
    <w:basedOn w:val="14"/>
    <w:qFormat/>
    <w:uiPriority w:val="0"/>
  </w:style>
  <w:style w:type="character" w:customStyle="1" w:styleId="23">
    <w:name w:val="l-btn-empty"/>
    <w:basedOn w:val="14"/>
    <w:qFormat/>
    <w:uiPriority w:val="0"/>
  </w:style>
  <w:style w:type="character" w:customStyle="1" w:styleId="24">
    <w:name w:val="filename"/>
    <w:basedOn w:val="14"/>
    <w:qFormat/>
    <w:uiPriority w:val="0"/>
    <w:rPr>
      <w:color w:val="777777"/>
      <w:sz w:val="16"/>
      <w:szCs w:val="16"/>
    </w:rPr>
  </w:style>
  <w:style w:type="character" w:customStyle="1" w:styleId="25">
    <w:name w:val="action"/>
    <w:basedOn w:val="14"/>
    <w:qFormat/>
    <w:uiPriority w:val="0"/>
    <w:rPr>
      <w:b/>
      <w:sz w:val="16"/>
      <w:szCs w:val="16"/>
      <w:shd w:val="clear" w:fill="FFFFFF"/>
    </w:rPr>
  </w:style>
  <w:style w:type="character" w:customStyle="1" w:styleId="26">
    <w:name w:val="checked"/>
    <w:basedOn w:val="14"/>
    <w:qFormat/>
    <w:uiPriority w:val="0"/>
  </w:style>
  <w:style w:type="character" w:customStyle="1" w:styleId="27">
    <w:name w:val="checked1"/>
    <w:basedOn w:val="14"/>
    <w:qFormat/>
    <w:uiPriority w:val="0"/>
  </w:style>
  <w:style w:type="paragraph" w:customStyle="1" w:styleId="28">
    <w:name w:val="_Style 17"/>
    <w:basedOn w:val="1"/>
    <w:next w:val="1"/>
    <w:qFormat/>
    <w:uiPriority w:val="0"/>
    <w:pPr>
      <w:pBdr>
        <w:bottom w:val="single" w:color="auto" w:sz="6" w:space="1"/>
      </w:pBdr>
      <w:jc w:val="center"/>
    </w:pPr>
    <w:rPr>
      <w:rFonts w:ascii="Arial" w:eastAsia="宋体"/>
      <w:vanish/>
      <w:sz w:val="16"/>
    </w:rPr>
  </w:style>
  <w:style w:type="paragraph" w:customStyle="1" w:styleId="29">
    <w:name w:val="_Style 18"/>
    <w:basedOn w:val="1"/>
    <w:next w:val="1"/>
    <w:qFormat/>
    <w:uiPriority w:val="0"/>
    <w:pPr>
      <w:pBdr>
        <w:top w:val="single" w:color="auto" w:sz="6" w:space="1"/>
      </w:pBdr>
      <w:jc w:val="center"/>
    </w:pPr>
    <w:rPr>
      <w:rFonts w:ascii="Arial" w:eastAsia="宋体"/>
      <w:vanish/>
      <w:sz w:val="16"/>
    </w:rPr>
  </w:style>
  <w:style w:type="character" w:customStyle="1" w:styleId="30">
    <w:name w:val="l-btn-left4"/>
    <w:basedOn w:val="14"/>
    <w:qFormat/>
    <w:uiPriority w:val="0"/>
  </w:style>
  <w:style w:type="character" w:customStyle="1" w:styleId="31">
    <w:name w:val="l-btn-left5"/>
    <w:basedOn w:val="14"/>
    <w:qFormat/>
    <w:uiPriority w:val="0"/>
  </w:style>
  <w:style w:type="paragraph" w:customStyle="1" w:styleId="32">
    <w:name w:val="列出段落"/>
    <w:basedOn w:val="1"/>
    <w:qFormat/>
    <w:uiPriority w:val="0"/>
    <w:pPr>
      <w:ind w:firstLine="420" w:firstLineChars="200"/>
    </w:pPr>
    <w:rPr>
      <w:rFonts w:ascii="Times New Roman" w:hAnsi="Times New Roman"/>
      <w:szCs w:val="21"/>
    </w:rPr>
  </w:style>
  <w:style w:type="paragraph" w:customStyle="1" w:styleId="33">
    <w:name w:val="三级无"/>
    <w:basedOn w:val="34"/>
    <w:qFormat/>
    <w:uiPriority w:val="0"/>
    <w:pPr>
      <w:spacing w:beforeLines="0" w:afterLines="0"/>
      <w:ind w:left="993"/>
    </w:pPr>
    <w:rPr>
      <w:rFonts w:ascii="宋体" w:eastAsia="宋体"/>
    </w:rPr>
  </w:style>
  <w:style w:type="paragraph" w:customStyle="1" w:styleId="34">
    <w:name w:val="三级条标题"/>
    <w:basedOn w:val="35"/>
    <w:next w:val="38"/>
    <w:qFormat/>
    <w:uiPriority w:val="0"/>
    <w:pPr>
      <w:numPr>
        <w:ilvl w:val="3"/>
      </w:numPr>
      <w:ind w:left="142"/>
      <w:outlineLvl w:val="4"/>
    </w:pPr>
  </w:style>
  <w:style w:type="paragraph" w:customStyle="1" w:styleId="35">
    <w:name w:val="二级条标题"/>
    <w:basedOn w:val="36"/>
    <w:next w:val="38"/>
    <w:qFormat/>
    <w:uiPriority w:val="99"/>
    <w:pPr>
      <w:numPr>
        <w:ilvl w:val="2"/>
      </w:numPr>
      <w:spacing w:before="50" w:after="50"/>
      <w:outlineLvl w:val="3"/>
    </w:pPr>
  </w:style>
  <w:style w:type="paragraph" w:customStyle="1" w:styleId="36">
    <w:name w:val="一级条标题"/>
    <w:basedOn w:val="37"/>
    <w:next w:val="38"/>
    <w:qFormat/>
    <w:uiPriority w:val="99"/>
    <w:pPr>
      <w:numPr>
        <w:ilvl w:val="1"/>
        <w:numId w:val="1"/>
      </w:numPr>
      <w:outlineLvl w:val="2"/>
    </w:pPr>
    <w:rPr>
      <w:szCs w:val="21"/>
    </w:rPr>
  </w:style>
  <w:style w:type="paragraph" w:customStyle="1" w:styleId="37">
    <w:name w:val="章标题"/>
    <w:next w:val="38"/>
    <w:qFormat/>
    <w:uiPriority w:val="0"/>
    <w:pPr>
      <w:numPr>
        <w:ilvl w:val="0"/>
        <w:numId w:val="2"/>
      </w:numPr>
      <w:spacing w:before="156" w:beforeLines="50" w:after="156" w:afterLines="50"/>
      <w:ind w:left="315"/>
      <w:jc w:val="both"/>
      <w:outlineLvl w:val="1"/>
    </w:pPr>
    <w:rPr>
      <w:rFonts w:ascii="黑体" w:hAnsi="Times New Roman" w:eastAsia="黑体" w:cs="Times New Roman"/>
      <w:sz w:val="21"/>
      <w:lang w:val="en-US" w:eastAsia="zh-CN" w:bidi="ar-SA"/>
    </w:rPr>
  </w:style>
  <w:style w:type="paragraph" w:customStyle="1" w:styleId="38">
    <w:name w:val="段"/>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2"/>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40</Pages>
  <Words>21725</Words>
  <Characters>22278</Characters>
  <Lines>0</Lines>
  <Paragraphs>0</Paragraphs>
  <TotalTime>2</TotalTime>
  <ScaleCrop>false</ScaleCrop>
  <LinksUpToDate>false</LinksUpToDate>
  <CharactersWithSpaces>22419</CharactersWithSpaces>
  <Application>WPS Office_11.8.2.1123_F1E327BC-269C-435d-A152-05C5408002CA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2020-10-29T02:36:00Z</dcterms:created>
  <dc:creator>杨霞</dc:creator>
  <cp:lastModifiedBy>jtt</cp:lastModifiedBy>
  <dcterms:modified xsi:type="dcterms:W3CDTF">2023-08-11T10:23:09Z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2052-11.8.2.1123</vt:lpwstr>
  </property>
  <property fmtid="{D5CDD505-2E9C-101B-9397-08002B2CF9AE}" pid="3" name="ICV">
    <vt:lpwstr>EBB9DB7E6AA141CAB8C808EE14171717</vt:lpwstr>
  </property>
</Properties>
</file>