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宁夏回族自治区</w:t>
      </w:r>
      <w:r>
        <w:rPr>
          <w:rFonts w:hint="eastAsia" w:ascii="方正小标宋_GBK" w:hAnsi="方正小标宋_GBK" w:eastAsia="方正小标宋_GBK" w:cs="方正小标宋_GBK"/>
          <w:b/>
          <w:bCs/>
          <w:sz w:val="44"/>
          <w:szCs w:val="44"/>
        </w:rPr>
        <w:t>交通运输</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eastAsia="小标宋"/>
          <w:sz w:val="44"/>
          <w:szCs w:val="44"/>
          <w:lang w:eastAsia="zh-CN"/>
        </w:rPr>
      </w:pPr>
      <w:r>
        <w:rPr>
          <w:rFonts w:hint="eastAsia" w:ascii="方正小标宋_GBK" w:hAnsi="方正小标宋_GBK" w:eastAsia="方正小标宋_GBK" w:cs="方正小标宋_GBK"/>
          <w:b/>
          <w:bCs/>
          <w:sz w:val="44"/>
          <w:szCs w:val="44"/>
        </w:rPr>
        <w:t>信息</w:t>
      </w:r>
      <w:r>
        <w:rPr>
          <w:rFonts w:hint="eastAsia" w:ascii="方正小标宋_GBK" w:hAnsi="方正小标宋_GBK" w:eastAsia="方正小标宋_GBK" w:cs="方正小标宋_GBK"/>
          <w:b/>
          <w:bCs/>
          <w:sz w:val="44"/>
          <w:szCs w:val="44"/>
          <w:lang w:val="en-US" w:eastAsia="zh-CN"/>
        </w:rPr>
        <w:t>化建设项目管理</w:t>
      </w:r>
      <w:r>
        <w:rPr>
          <w:rFonts w:hint="eastAsia" w:ascii="方正小标宋_GBK" w:hAnsi="方正小标宋_GBK" w:eastAsia="方正小标宋_GBK" w:cs="方正小标宋_GBK"/>
          <w:b/>
          <w:bCs/>
          <w:sz w:val="44"/>
          <w:szCs w:val="44"/>
        </w:rPr>
        <w:t>办法</w:t>
      </w:r>
      <w:r>
        <w:rPr>
          <w:rFonts w:hint="eastAsia" w:ascii="方正小标宋_GBK" w:hAnsi="方正小标宋_GBK" w:eastAsia="方正小标宋_GBK" w:cs="方正小标宋_GBK"/>
          <w:b/>
          <w:bCs/>
          <w:sz w:val="44"/>
          <w:szCs w:val="44"/>
          <w:lang w:eastAsia="zh-CN"/>
        </w:rPr>
        <w:t>（暂行）</w:t>
      </w:r>
    </w:p>
    <w:p>
      <w:pPr>
        <w:keepNext w:val="0"/>
        <w:keepLines w:val="0"/>
        <w:pageBreakBefore w:val="0"/>
        <w:widowControl w:val="0"/>
        <w:kinsoku/>
        <w:wordWrap/>
        <w:overflowPunct/>
        <w:topLinePunct w:val="0"/>
        <w:autoSpaceDE/>
        <w:autoSpaceDN/>
        <w:bidi w:val="0"/>
        <w:adjustRightInd/>
        <w:snapToGrid/>
        <w:spacing w:before="157" w:beforeLines="50" w:line="660" w:lineRule="exact"/>
        <w:ind w:left="0" w:leftChars="0" w:right="0" w:rightChars="0" w:firstLine="0" w:firstLineChars="0"/>
        <w:jc w:val="center"/>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660" w:lineRule="exact"/>
        <w:ind w:left="0" w:leftChars="0" w:right="0" w:rightChars="0" w:firstLine="0" w:firstLineChars="0"/>
        <w:jc w:val="center"/>
        <w:textAlignment w:val="auto"/>
        <w:outlineLvl w:val="9"/>
        <w:rPr>
          <w:rFonts w:hint="eastAsia" w:ascii="黑体" w:hAnsi="黑体" w:eastAsia="黑体" w:cstheme="minorBidi"/>
          <w:b w:val="0"/>
          <w:bCs/>
          <w:kern w:val="44"/>
          <w:sz w:val="32"/>
          <w:szCs w:val="32"/>
          <w:lang w:val="en-US" w:eastAsia="zh-CN" w:bidi="ar-SA"/>
        </w:rPr>
      </w:pPr>
      <w:r>
        <w:rPr>
          <w:rFonts w:hint="eastAsia" w:ascii="黑体" w:hAnsi="黑体" w:eastAsia="黑体" w:cstheme="minorBidi"/>
          <w:b w:val="0"/>
          <w:bCs/>
          <w:kern w:val="44"/>
          <w:sz w:val="32"/>
          <w:szCs w:val="32"/>
          <w:lang w:val="en-US" w:eastAsia="zh-CN" w:bidi="ar-SA"/>
        </w:rPr>
        <w:t>第一章 总则</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第一条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eastAsia="zh-CN"/>
        </w:rPr>
        <w:t>实现全区</w:t>
      </w:r>
      <w:r>
        <w:rPr>
          <w:rFonts w:hint="eastAsia" w:ascii="仿宋" w:hAnsi="仿宋" w:eastAsia="仿宋" w:cs="仿宋"/>
          <w:sz w:val="32"/>
          <w:szCs w:val="32"/>
          <w:highlight w:val="none"/>
        </w:rPr>
        <w:t>交通运输信息化建设</w:t>
      </w:r>
      <w:r>
        <w:rPr>
          <w:rFonts w:hint="eastAsia" w:ascii="仿宋" w:hAnsi="仿宋" w:eastAsia="仿宋" w:cs="仿宋"/>
          <w:sz w:val="32"/>
          <w:szCs w:val="32"/>
          <w:highlight w:val="none"/>
          <w:lang w:eastAsia="zh-CN"/>
        </w:rPr>
        <w:t>统筹管理，有效整合数据资源</w:t>
      </w:r>
      <w:r>
        <w:rPr>
          <w:rFonts w:hint="eastAsia" w:ascii="仿宋" w:hAnsi="仿宋" w:eastAsia="仿宋" w:cs="仿宋"/>
          <w:sz w:val="32"/>
          <w:szCs w:val="32"/>
          <w:highlight w:val="none"/>
        </w:rPr>
        <w:t>，规范</w:t>
      </w:r>
      <w:r>
        <w:rPr>
          <w:rFonts w:hint="eastAsia" w:ascii="仿宋" w:hAnsi="仿宋" w:eastAsia="仿宋" w:cs="仿宋"/>
          <w:sz w:val="32"/>
          <w:szCs w:val="32"/>
          <w:highlight w:val="none"/>
          <w:lang w:eastAsia="zh-CN"/>
        </w:rPr>
        <w:t>项目建设</w:t>
      </w:r>
      <w:r>
        <w:rPr>
          <w:rFonts w:hint="eastAsia" w:ascii="仿宋" w:hAnsi="仿宋" w:eastAsia="仿宋" w:cs="仿宋"/>
          <w:sz w:val="32"/>
          <w:szCs w:val="32"/>
          <w:highlight w:val="none"/>
        </w:rPr>
        <w:t>程序，</w:t>
      </w:r>
      <w:r>
        <w:rPr>
          <w:rFonts w:hint="eastAsia" w:ascii="仿宋" w:hAnsi="仿宋" w:eastAsia="仿宋" w:cs="仿宋"/>
          <w:sz w:val="32"/>
          <w:szCs w:val="32"/>
          <w:highlight w:val="none"/>
          <w:lang w:eastAsia="zh-CN"/>
        </w:rPr>
        <w:t>提高资金使用效益，确保项目建设质量，发挥信息化对实际工作的指导与辅助作用，依据《中华人民共和国网络安全法》《交通运输部关于印发〈交通运输行业信息化建设投资补助项目管理暂行办法〉的通知》《宁夏回族自治区政务信息化项目和专项资金管理办法（暂行）》及有关法律法规和规范</w:t>
      </w:r>
      <w:r>
        <w:rPr>
          <w:rFonts w:hint="eastAsia" w:ascii="仿宋" w:hAnsi="仿宋" w:eastAsia="仿宋" w:cs="仿宋"/>
          <w:sz w:val="32"/>
          <w:szCs w:val="32"/>
          <w:highlight w:val="none"/>
        </w:rPr>
        <w:t>，结合</w:t>
      </w:r>
      <w:r>
        <w:rPr>
          <w:rFonts w:hint="eastAsia" w:ascii="仿宋" w:hAnsi="仿宋" w:eastAsia="仿宋" w:cs="仿宋"/>
          <w:sz w:val="32"/>
          <w:szCs w:val="32"/>
          <w:highlight w:val="none"/>
          <w:lang w:eastAsia="zh-CN"/>
        </w:rPr>
        <w:t>全区</w:t>
      </w:r>
      <w:r>
        <w:rPr>
          <w:rFonts w:hint="eastAsia" w:ascii="仿宋" w:hAnsi="仿宋" w:eastAsia="仿宋" w:cs="仿宋"/>
          <w:sz w:val="32"/>
          <w:szCs w:val="32"/>
          <w:highlight w:val="none"/>
        </w:rPr>
        <w:t>交通运输行业发展实际，制定本办法。</w:t>
      </w:r>
    </w:p>
    <w:p>
      <w:pPr>
        <w:keepNext w:val="0"/>
        <w:keepLines w:val="0"/>
        <w:pageBreakBefore w:val="0"/>
        <w:widowControl/>
        <w:kinsoku/>
        <w:wordWrap/>
        <w:overflowPunct/>
        <w:topLinePunct w:val="0"/>
        <w:autoSpaceDE/>
        <w:autoSpaceDN/>
        <w:bidi w:val="0"/>
        <w:adjustRightInd/>
        <w:snapToGrid/>
        <w:spacing w:line="660" w:lineRule="exact"/>
        <w:ind w:left="0" w:leftChars="0" w:right="-115" w:rightChars="-55" w:firstLine="640" w:firstLineChars="200"/>
        <w:textAlignment w:val="auto"/>
      </w:pPr>
      <w:r>
        <w:rPr>
          <w:rFonts w:hint="eastAsia" w:ascii="黑体" w:hAnsi="黑体" w:eastAsia="黑体" w:cs="黑体"/>
          <w:sz w:val="32"/>
          <w:szCs w:val="32"/>
          <w:highlight w:val="none"/>
        </w:rPr>
        <w:t>第二条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本办法所称交通运输信息化建设</w:t>
      </w: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rPr>
        <w:t>是指交通运输信息</w:t>
      </w:r>
      <w:r>
        <w:rPr>
          <w:rFonts w:hint="eastAsia" w:ascii="仿宋" w:hAnsi="仿宋" w:eastAsia="仿宋" w:cs="仿宋"/>
          <w:sz w:val="32"/>
          <w:szCs w:val="32"/>
          <w:highlight w:val="none"/>
          <w:lang w:eastAsia="zh-CN"/>
        </w:rPr>
        <w:t>化</w:t>
      </w:r>
      <w:r>
        <w:rPr>
          <w:rFonts w:hint="eastAsia" w:ascii="仿宋" w:hAnsi="仿宋" w:eastAsia="仿宋" w:cs="仿宋"/>
          <w:sz w:val="32"/>
          <w:szCs w:val="32"/>
          <w:highlight w:val="none"/>
        </w:rPr>
        <w:t>基础设施、业务应用</w:t>
      </w:r>
      <w:r>
        <w:rPr>
          <w:rFonts w:hint="eastAsia" w:ascii="仿宋" w:hAnsi="仿宋" w:eastAsia="仿宋" w:cs="仿宋"/>
          <w:sz w:val="32"/>
          <w:szCs w:val="32"/>
          <w:highlight w:val="none"/>
          <w:lang w:eastAsia="zh-CN"/>
        </w:rPr>
        <w:t>系统、应用集成系统、公共服务系统、数据处理系统、办公电子政务系统、</w:t>
      </w:r>
      <w:r>
        <w:rPr>
          <w:rFonts w:hint="eastAsia" w:ascii="仿宋" w:hAnsi="仿宋" w:eastAsia="仿宋" w:cs="仿宋"/>
          <w:sz w:val="32"/>
          <w:szCs w:val="32"/>
          <w:highlight w:val="none"/>
        </w:rPr>
        <w:t>信息化</w:t>
      </w:r>
      <w:r>
        <w:rPr>
          <w:rFonts w:hint="eastAsia" w:ascii="仿宋" w:hAnsi="仿宋" w:eastAsia="仿宋" w:cs="仿宋"/>
          <w:sz w:val="32"/>
          <w:szCs w:val="32"/>
          <w:highlight w:val="none"/>
          <w:lang w:eastAsia="zh-CN"/>
        </w:rPr>
        <w:t>安全</w:t>
      </w:r>
      <w:r>
        <w:rPr>
          <w:rFonts w:hint="eastAsia" w:ascii="仿宋" w:hAnsi="仿宋" w:eastAsia="仿宋" w:cs="仿宋"/>
          <w:sz w:val="32"/>
          <w:szCs w:val="32"/>
          <w:highlight w:val="none"/>
        </w:rPr>
        <w:t>保障系</w:t>
      </w:r>
      <w:r>
        <w:rPr>
          <w:rFonts w:hint="eastAsia" w:ascii="仿宋" w:hAnsi="仿宋" w:eastAsia="仿宋" w:cs="仿宋"/>
          <w:sz w:val="32"/>
          <w:szCs w:val="32"/>
          <w:highlight w:val="none"/>
          <w:lang w:eastAsia="zh-CN"/>
        </w:rPr>
        <w:t>统等新建、改</w:t>
      </w:r>
      <w:r>
        <w:rPr>
          <w:rFonts w:hint="eastAsia" w:ascii="仿宋" w:hAnsi="仿宋" w:eastAsia="仿宋" w:cs="仿宋"/>
          <w:sz w:val="32"/>
          <w:szCs w:val="32"/>
          <w:highlight w:val="none"/>
        </w:rPr>
        <w:t>建</w:t>
      </w:r>
      <w:r>
        <w:rPr>
          <w:rFonts w:hint="eastAsia" w:ascii="仿宋" w:hAnsi="仿宋" w:eastAsia="仿宋" w:cs="仿宋"/>
          <w:sz w:val="32"/>
          <w:szCs w:val="32"/>
          <w:highlight w:val="none"/>
          <w:lang w:eastAsia="zh-CN"/>
        </w:rPr>
        <w:t>项目。</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第三条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交通运输信息化项目建设应当遵循国家、</w:t>
      </w:r>
      <w:r>
        <w:rPr>
          <w:rFonts w:hint="eastAsia" w:ascii="仿宋" w:hAnsi="仿宋" w:eastAsia="仿宋" w:cs="仿宋"/>
          <w:sz w:val="32"/>
          <w:szCs w:val="32"/>
          <w:highlight w:val="none"/>
          <w:lang w:eastAsia="zh-CN"/>
        </w:rPr>
        <w:t>自治区以及</w:t>
      </w:r>
      <w:r>
        <w:rPr>
          <w:rFonts w:hint="eastAsia" w:ascii="仿宋" w:hAnsi="仿宋" w:eastAsia="仿宋" w:cs="仿宋"/>
          <w:sz w:val="32"/>
          <w:szCs w:val="32"/>
          <w:highlight w:val="none"/>
        </w:rPr>
        <w:t>交通运输行业相关技术标准和要求，执行</w:t>
      </w:r>
      <w:r>
        <w:rPr>
          <w:rFonts w:hint="eastAsia" w:ascii="仿宋" w:hAnsi="仿宋" w:eastAsia="仿宋" w:cs="仿宋"/>
          <w:sz w:val="32"/>
          <w:szCs w:val="32"/>
          <w:highlight w:val="none"/>
          <w:lang w:eastAsia="zh-CN"/>
        </w:rPr>
        <w:t>相关</w:t>
      </w:r>
      <w:r>
        <w:rPr>
          <w:rFonts w:hint="eastAsia" w:ascii="仿宋" w:hAnsi="仿宋" w:eastAsia="仿宋" w:cs="仿宋"/>
          <w:sz w:val="32"/>
          <w:szCs w:val="32"/>
          <w:highlight w:val="none"/>
        </w:rPr>
        <w:t>建设程序，坚持</w:t>
      </w:r>
      <w:r>
        <w:rPr>
          <w:rFonts w:hint="eastAsia" w:ascii="仿宋" w:hAnsi="仿宋" w:eastAsia="仿宋" w:cs="仿宋"/>
          <w:sz w:val="32"/>
          <w:szCs w:val="32"/>
          <w:highlight w:val="none"/>
          <w:lang w:eastAsia="zh-CN"/>
        </w:rPr>
        <w:t>“统筹规划、需求导向、数据共享、安全可控、开放融合”的原则</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rPr>
        <w:t>第四条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本办法适用于</w:t>
      </w:r>
      <w:r>
        <w:rPr>
          <w:rFonts w:hint="eastAsia" w:ascii="仿宋" w:hAnsi="仿宋" w:eastAsia="仿宋" w:cs="仿宋"/>
          <w:sz w:val="32"/>
          <w:szCs w:val="32"/>
          <w:highlight w:val="none"/>
          <w:lang w:eastAsia="zh-CN"/>
        </w:rPr>
        <w:t>使用国家、自治区财政资金全额投资或部分补助的，由交通运输厅统筹建设的</w:t>
      </w:r>
      <w:r>
        <w:rPr>
          <w:rFonts w:hint="eastAsia" w:ascii="仿宋" w:hAnsi="仿宋" w:eastAsia="仿宋" w:cs="仿宋"/>
          <w:sz w:val="32"/>
          <w:szCs w:val="32"/>
          <w:highlight w:val="none"/>
        </w:rPr>
        <w:t>交通运输信息化</w:t>
      </w:r>
      <w:r>
        <w:rPr>
          <w:rFonts w:hint="eastAsia" w:ascii="仿宋" w:hAnsi="仿宋" w:eastAsia="仿宋" w:cs="仿宋"/>
          <w:sz w:val="32"/>
          <w:szCs w:val="32"/>
          <w:highlight w:val="none"/>
          <w:lang w:eastAsia="zh-CN"/>
        </w:rPr>
        <w:t>项目，其他交通运输信息化建设项目参照本办法执行</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66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第二章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管理机构</w:t>
      </w:r>
      <w:r>
        <w:rPr>
          <w:rFonts w:hint="eastAsia" w:ascii="黑体" w:hAnsi="黑体" w:eastAsia="黑体" w:cs="黑体"/>
          <w:sz w:val="32"/>
          <w:szCs w:val="32"/>
          <w:highlight w:val="none"/>
          <w:lang w:eastAsia="zh-CN"/>
        </w:rPr>
        <w:t>与职责</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交通运输厅是</w:t>
      </w:r>
      <w:r>
        <w:rPr>
          <w:rFonts w:hint="eastAsia" w:ascii="仿宋" w:hAnsi="仿宋" w:eastAsia="仿宋" w:cs="仿宋"/>
          <w:sz w:val="32"/>
          <w:szCs w:val="32"/>
          <w:highlight w:val="none"/>
          <w:lang w:eastAsia="zh-CN"/>
        </w:rPr>
        <w:t>全区</w:t>
      </w:r>
      <w:r>
        <w:rPr>
          <w:rFonts w:hint="eastAsia" w:ascii="仿宋" w:hAnsi="仿宋" w:eastAsia="仿宋" w:cs="仿宋"/>
          <w:sz w:val="32"/>
          <w:szCs w:val="32"/>
          <w:highlight w:val="none"/>
        </w:rPr>
        <w:t>交通运输信息化建设的</w:t>
      </w:r>
      <w:r>
        <w:rPr>
          <w:rFonts w:hint="eastAsia" w:ascii="仿宋" w:hAnsi="仿宋" w:eastAsia="仿宋" w:cs="仿宋"/>
          <w:sz w:val="32"/>
          <w:szCs w:val="32"/>
          <w:highlight w:val="none"/>
          <w:lang w:eastAsia="zh-CN"/>
        </w:rPr>
        <w:t>主管部门，</w:t>
      </w:r>
      <w:r>
        <w:rPr>
          <w:rFonts w:hint="eastAsia" w:ascii="仿宋" w:hAnsi="仿宋" w:eastAsia="仿宋" w:cs="仿宋"/>
          <w:sz w:val="32"/>
          <w:szCs w:val="32"/>
          <w:highlight w:val="none"/>
          <w:lang w:val="en-US" w:eastAsia="zh-CN"/>
        </w:rPr>
        <w:t>负责交通运输信息化建设项目的监督指导，具体工作由厅党委网络安全和信息化领导小组办公室（简称厅网信办）负责。</w:t>
      </w:r>
    </w:p>
    <w:p>
      <w:pPr>
        <w:keepNext w:val="0"/>
        <w:keepLines w:val="0"/>
        <w:pageBreakBefore w:val="0"/>
        <w:numPr>
          <w:ilvl w:val="0"/>
          <w:numId w:val="0"/>
        </w:numPr>
        <w:kinsoku/>
        <w:wordWrap/>
        <w:overflowPunct/>
        <w:topLinePunct w:val="0"/>
        <w:autoSpaceDE/>
        <w:autoSpaceDN/>
        <w:bidi w:val="0"/>
        <w:adjustRightInd/>
        <w:snapToGrid/>
        <w:spacing w:line="660" w:lineRule="exact"/>
        <w:ind w:left="0" w:leftChars="0" w:firstLine="640"/>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宁夏</w:t>
      </w:r>
      <w:r>
        <w:rPr>
          <w:rFonts w:hint="eastAsia" w:ascii="仿宋" w:hAnsi="仿宋" w:eastAsia="仿宋" w:cs="仿宋"/>
          <w:sz w:val="32"/>
          <w:szCs w:val="32"/>
          <w:highlight w:val="none"/>
        </w:rPr>
        <w:t>交通</w:t>
      </w:r>
      <w:r>
        <w:rPr>
          <w:rFonts w:hint="eastAsia" w:ascii="仿宋" w:hAnsi="仿宋" w:eastAsia="仿宋" w:cs="仿宋"/>
          <w:sz w:val="32"/>
          <w:szCs w:val="32"/>
          <w:highlight w:val="none"/>
          <w:lang w:eastAsia="zh-CN"/>
        </w:rPr>
        <w:t>信息监控</w:t>
      </w:r>
      <w:r>
        <w:rPr>
          <w:rFonts w:hint="eastAsia" w:ascii="仿宋" w:hAnsi="仿宋" w:eastAsia="仿宋" w:cs="仿宋"/>
          <w:sz w:val="32"/>
          <w:szCs w:val="32"/>
          <w:highlight w:val="none"/>
        </w:rPr>
        <w:t>中心</w:t>
      </w:r>
      <w:r>
        <w:rPr>
          <w:rFonts w:hint="eastAsia" w:ascii="仿宋" w:hAnsi="仿宋" w:eastAsia="仿宋" w:cs="仿宋"/>
          <w:sz w:val="32"/>
          <w:szCs w:val="32"/>
          <w:highlight w:val="none"/>
          <w:lang w:eastAsia="zh-CN"/>
        </w:rPr>
        <w:t>（宁夏监测与应急处置中心）</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全区交通运输行业信息化建设的技术支撑单位，受交通运输厅委托，负责厅本级及厅属单位信息化建设项目的建设、管理、运维及信息安全保障工作，并负责交通运输行业其他信息化建设项目的数据共享管理。</w:t>
      </w:r>
    </w:p>
    <w:p>
      <w:pPr>
        <w:keepNext w:val="0"/>
        <w:keepLines w:val="0"/>
        <w:pageBreakBefore w:val="0"/>
        <w:numPr>
          <w:ilvl w:val="0"/>
          <w:numId w:val="0"/>
        </w:numPr>
        <w:kinsoku/>
        <w:wordWrap/>
        <w:overflowPunct/>
        <w:topLinePunct w:val="0"/>
        <w:autoSpaceDE/>
        <w:autoSpaceDN/>
        <w:bidi w:val="0"/>
        <w:adjustRightInd/>
        <w:snapToGrid/>
        <w:spacing w:line="660" w:lineRule="exact"/>
        <w:ind w:left="0" w:leftChars="0" w:firstLine="640"/>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lang w:val="en-US" w:eastAsia="zh-CN"/>
        </w:rPr>
        <w:t xml:space="preserve">第七条 </w:t>
      </w:r>
      <w:r>
        <w:rPr>
          <w:rFonts w:hint="eastAsia" w:ascii="仿宋" w:hAnsi="仿宋" w:eastAsia="仿宋" w:cs="仿宋"/>
          <w:sz w:val="32"/>
          <w:szCs w:val="32"/>
          <w:highlight w:val="none"/>
          <w:lang w:val="en-US" w:eastAsia="zh-CN"/>
        </w:rPr>
        <w:t>各市县（区）交通运输主管部门自行开发建设的信息系统，必须按照《交通运输行业信息化标准体系（2019年）》进行设计，系统建成后须报厅网信办备案并按要求接入行业数据共享平台；各PPP项目公司以及基建工程中标从业单位等公路建设单位和企业自行开发建设的信息系统（如拌合站数据采集系统、质量安全监控系统、试验检测数据采集系统等），须在开工建设前将系统接入行业数据共享平台；各道路运输企业自行开发的信息系统视情况接入行业数据共享平台，实现数据资源共享、存储、分析。</w:t>
      </w:r>
    </w:p>
    <w:p>
      <w:pPr>
        <w:keepNext w:val="0"/>
        <w:keepLines w:val="0"/>
        <w:pageBreakBefore w:val="0"/>
        <w:widowControl w:val="0"/>
        <w:kinsoku/>
        <w:wordWrap/>
        <w:overflowPunct/>
        <w:topLinePunct w:val="0"/>
        <w:autoSpaceDE/>
        <w:autoSpaceDN/>
        <w:bidi w:val="0"/>
        <w:adjustRightInd/>
        <w:snapToGrid/>
        <w:spacing w:before="157" w:beforeLines="50" w:after="157" w:afterLines="50" w:line="66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第三章</w:t>
      </w:r>
      <w:r>
        <w:rPr>
          <w:rFonts w:hint="eastAsia" w:ascii="黑体" w:hAnsi="黑体" w:eastAsia="黑体" w:cs="黑体"/>
          <w:sz w:val="32"/>
          <w:szCs w:val="32"/>
          <w:highlight w:val="none"/>
          <w:lang w:val="en-US" w:eastAsia="zh-CN"/>
        </w:rPr>
        <w:t xml:space="preserve"> 规划</w:t>
      </w:r>
      <w:r>
        <w:rPr>
          <w:rFonts w:hint="eastAsia" w:ascii="黑体" w:hAnsi="黑体" w:eastAsia="黑体" w:cs="黑体"/>
          <w:sz w:val="32"/>
          <w:szCs w:val="32"/>
          <w:highlight w:val="none"/>
          <w:lang w:eastAsia="zh-CN"/>
        </w:rPr>
        <w:t>计划管理</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交通运输信息化是交通运输</w:t>
      </w:r>
      <w:r>
        <w:rPr>
          <w:rFonts w:hint="eastAsia" w:ascii="仿宋" w:hAnsi="仿宋" w:eastAsia="仿宋" w:cs="仿宋"/>
          <w:sz w:val="32"/>
          <w:szCs w:val="32"/>
          <w:highlight w:val="none"/>
          <w:lang w:eastAsia="zh-CN"/>
        </w:rPr>
        <w:t>发展</w:t>
      </w:r>
      <w:r>
        <w:rPr>
          <w:rFonts w:hint="eastAsia" w:ascii="仿宋" w:hAnsi="仿宋" w:eastAsia="仿宋" w:cs="仿宋"/>
          <w:sz w:val="32"/>
          <w:szCs w:val="32"/>
          <w:highlight w:val="none"/>
        </w:rPr>
        <w:t>的重要组成部分，</w:t>
      </w:r>
      <w:r>
        <w:rPr>
          <w:rFonts w:hint="eastAsia" w:ascii="仿宋" w:hAnsi="仿宋" w:eastAsia="仿宋" w:cs="仿宋"/>
          <w:sz w:val="32"/>
          <w:szCs w:val="32"/>
          <w:highlight w:val="none"/>
          <w:lang w:eastAsia="zh-CN"/>
        </w:rPr>
        <w:t>应</w:t>
      </w:r>
      <w:r>
        <w:rPr>
          <w:rFonts w:hint="eastAsia" w:ascii="仿宋" w:hAnsi="仿宋" w:eastAsia="仿宋" w:cs="仿宋"/>
          <w:sz w:val="32"/>
          <w:szCs w:val="32"/>
          <w:highlight w:val="none"/>
        </w:rPr>
        <w:t>根据国家</w:t>
      </w:r>
      <w:r>
        <w:rPr>
          <w:rFonts w:hint="eastAsia" w:ascii="仿宋" w:hAnsi="仿宋" w:eastAsia="仿宋" w:cs="仿宋"/>
          <w:sz w:val="32"/>
          <w:szCs w:val="32"/>
          <w:highlight w:val="none"/>
          <w:lang w:eastAsia="zh-CN"/>
        </w:rPr>
        <w:t>、自治区</w:t>
      </w:r>
      <w:r>
        <w:rPr>
          <w:rFonts w:hint="eastAsia" w:ascii="仿宋" w:hAnsi="仿宋" w:eastAsia="仿宋" w:cs="仿宋"/>
          <w:sz w:val="32"/>
          <w:szCs w:val="32"/>
          <w:highlight w:val="none"/>
        </w:rPr>
        <w:t>信息化发展有关</w:t>
      </w:r>
      <w:r>
        <w:rPr>
          <w:rFonts w:hint="eastAsia" w:ascii="仿宋" w:hAnsi="仿宋" w:eastAsia="仿宋" w:cs="仿宋"/>
          <w:sz w:val="32"/>
          <w:szCs w:val="32"/>
          <w:highlight w:val="none"/>
          <w:lang w:eastAsia="zh-CN"/>
        </w:rPr>
        <w:t>政策、要求，结合实际情况</w:t>
      </w:r>
      <w:r>
        <w:rPr>
          <w:rFonts w:hint="eastAsia" w:ascii="仿宋" w:hAnsi="仿宋" w:eastAsia="仿宋" w:cs="仿宋"/>
          <w:sz w:val="32"/>
          <w:szCs w:val="32"/>
          <w:highlight w:val="none"/>
          <w:lang w:val="en-US" w:eastAsia="zh-CN"/>
        </w:rPr>
        <w:t>编制交通运输信息化发展规划，</w:t>
      </w:r>
      <w:r>
        <w:rPr>
          <w:rFonts w:hint="eastAsia" w:ascii="仿宋" w:hAnsi="仿宋" w:eastAsia="仿宋" w:cs="仿宋"/>
          <w:sz w:val="32"/>
          <w:szCs w:val="32"/>
          <w:highlight w:val="none"/>
          <w:lang w:eastAsia="zh-CN"/>
        </w:rPr>
        <w:t>做好全区交通运输信息化顶层框架设计，做到框架完善、数据共享、急用先行。</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交通信息化项目规划时，应按要求同步编制信息数据资源目录，并纳入全区交通运输行业数据共享平台。</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交通运输信息化建设实行年度计划管理，各单位、处室</w:t>
      </w:r>
      <w:r>
        <w:rPr>
          <w:rFonts w:hint="eastAsia" w:ascii="仿宋" w:hAnsi="仿宋" w:eastAsia="仿宋" w:cs="仿宋"/>
          <w:sz w:val="32"/>
          <w:szCs w:val="32"/>
          <w:highlight w:val="none"/>
        </w:rPr>
        <w:t>按照交通运输</w:t>
      </w:r>
      <w:r>
        <w:rPr>
          <w:rFonts w:hint="eastAsia" w:ascii="仿宋" w:hAnsi="仿宋" w:eastAsia="仿宋" w:cs="仿宋"/>
          <w:sz w:val="32"/>
          <w:szCs w:val="32"/>
          <w:highlight w:val="none"/>
          <w:lang w:eastAsia="zh-CN"/>
        </w:rPr>
        <w:t>综合</w:t>
      </w:r>
      <w:r>
        <w:rPr>
          <w:rFonts w:hint="eastAsia" w:ascii="仿宋" w:hAnsi="仿宋" w:eastAsia="仿宋" w:cs="仿宋"/>
          <w:sz w:val="32"/>
          <w:szCs w:val="32"/>
          <w:highlight w:val="none"/>
        </w:rPr>
        <w:t>规划和</w:t>
      </w:r>
      <w:r>
        <w:rPr>
          <w:rFonts w:hint="eastAsia" w:ascii="仿宋" w:hAnsi="仿宋" w:eastAsia="仿宋" w:cs="仿宋"/>
          <w:sz w:val="32"/>
          <w:szCs w:val="32"/>
          <w:highlight w:val="none"/>
          <w:lang w:eastAsia="zh-CN"/>
        </w:rPr>
        <w:t>信息化发展需求</w:t>
      </w:r>
      <w:r>
        <w:rPr>
          <w:rFonts w:hint="eastAsia" w:ascii="仿宋" w:hAnsi="仿宋" w:eastAsia="仿宋" w:cs="仿宋"/>
          <w:sz w:val="32"/>
          <w:szCs w:val="32"/>
          <w:highlight w:val="none"/>
        </w:rPr>
        <w:t>，于每年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月底前</w:t>
      </w:r>
      <w:r>
        <w:rPr>
          <w:rFonts w:hint="eastAsia" w:ascii="仿宋" w:hAnsi="仿宋" w:eastAsia="仿宋" w:cs="仿宋"/>
          <w:sz w:val="32"/>
          <w:szCs w:val="32"/>
          <w:highlight w:val="none"/>
          <w:lang w:eastAsia="zh-CN"/>
        </w:rPr>
        <w:t>提出下一年信息化建设项目申请，并填写《信息化项目建设需求单》，</w:t>
      </w:r>
      <w:r>
        <w:rPr>
          <w:rFonts w:hint="eastAsia" w:ascii="仿宋" w:hAnsi="仿宋" w:eastAsia="仿宋" w:cs="仿宋"/>
          <w:sz w:val="32"/>
          <w:szCs w:val="32"/>
          <w:highlight w:val="none"/>
          <w:lang w:val="en-US" w:eastAsia="zh-CN"/>
        </w:rPr>
        <w:t>经交通运输厅</w:t>
      </w:r>
      <w:r>
        <w:rPr>
          <w:rFonts w:hint="eastAsia" w:ascii="仿宋" w:hAnsi="仿宋" w:eastAsia="仿宋" w:cs="仿宋"/>
          <w:sz w:val="32"/>
          <w:szCs w:val="32"/>
          <w:highlight w:val="none"/>
          <w:lang w:eastAsia="zh-CN"/>
        </w:rPr>
        <w:t>审核通过后列入下一年厅信息化建设项目计划</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lang w:eastAsia="zh-CN"/>
        </w:rPr>
        <w:t>第十一条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列入年度建设计划的交通运输信息化建设项目，由宁夏交通信息监控中心</w:t>
      </w:r>
      <w:r>
        <w:rPr>
          <w:rFonts w:hint="eastAsia" w:ascii="仿宋" w:hAnsi="仿宋" w:eastAsia="仿宋" w:cs="仿宋"/>
          <w:sz w:val="32"/>
          <w:szCs w:val="32"/>
          <w:highlight w:val="none"/>
          <w:lang w:eastAsia="zh-CN"/>
        </w:rPr>
        <w:t>（宁夏监测与应急处置中心）</w:t>
      </w:r>
      <w:r>
        <w:rPr>
          <w:rFonts w:hint="eastAsia" w:ascii="仿宋" w:hAnsi="仿宋" w:eastAsia="仿宋" w:cs="仿宋"/>
          <w:sz w:val="32"/>
          <w:szCs w:val="32"/>
          <w:highlight w:val="none"/>
          <w:lang w:val="en-US" w:eastAsia="zh-CN"/>
        </w:rPr>
        <w:t>启动项目前期工作，前期工作经费按照厅建设项目财务管理相关规定执行。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660" w:lineRule="exact"/>
        <w:ind w:left="0" w:leftChars="0" w:right="0" w:rightChars="0" w:firstLine="0" w:firstLine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第四章 项目前期工作</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lang w:eastAsia="zh-CN"/>
        </w:rPr>
        <w:t>第十二条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项目建设单位</w:t>
      </w:r>
      <w:r>
        <w:rPr>
          <w:rFonts w:hint="eastAsia" w:ascii="仿宋" w:hAnsi="仿宋" w:eastAsia="仿宋" w:cs="仿宋"/>
          <w:sz w:val="32"/>
          <w:szCs w:val="32"/>
          <w:highlight w:val="none"/>
          <w:lang w:val="en-US" w:eastAsia="zh-CN"/>
        </w:rPr>
        <w:t>按照</w:t>
      </w:r>
      <w:r>
        <w:rPr>
          <w:rFonts w:hint="eastAsia" w:ascii="仿宋" w:hAnsi="仿宋" w:eastAsia="仿宋" w:cs="仿宋"/>
          <w:sz w:val="32"/>
          <w:szCs w:val="32"/>
          <w:highlight w:val="none"/>
          <w:lang w:eastAsia="zh-CN"/>
        </w:rPr>
        <w:t>相关要求组织编制</w:t>
      </w:r>
      <w:r>
        <w:rPr>
          <w:rFonts w:hint="eastAsia" w:ascii="仿宋" w:hAnsi="仿宋" w:eastAsia="仿宋" w:cs="仿宋"/>
          <w:sz w:val="32"/>
          <w:szCs w:val="32"/>
          <w:highlight w:val="none"/>
        </w:rPr>
        <w:t>项目建议书、可行性研究报告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初步设计</w:t>
      </w:r>
      <w:r>
        <w:rPr>
          <w:rFonts w:hint="eastAsia" w:ascii="仿宋" w:hAnsi="仿宋" w:eastAsia="仿宋" w:cs="仿宋"/>
          <w:sz w:val="32"/>
          <w:szCs w:val="32"/>
          <w:highlight w:val="none"/>
          <w:lang w:eastAsia="zh-CN"/>
        </w:rPr>
        <w:t>、建设方案，经交通运输厅审查后，按自治区信息化项目建设程序报批。</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项目需求单位应积极配合项目建设单位完成需求调研及项目前期相关工作。</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涉及国家秘密的交通运输信息化建设项目，应当同步制定安全保密方案，</w:t>
      </w:r>
      <w:r>
        <w:rPr>
          <w:rFonts w:hint="eastAsia" w:ascii="仿宋" w:hAnsi="仿宋" w:eastAsia="仿宋" w:cs="仿宋"/>
          <w:sz w:val="32"/>
          <w:szCs w:val="32"/>
          <w:highlight w:val="none"/>
          <w:lang w:eastAsia="zh-CN"/>
        </w:rPr>
        <w:t>经</w:t>
      </w:r>
      <w:r>
        <w:rPr>
          <w:rFonts w:hint="eastAsia" w:ascii="仿宋" w:hAnsi="仿宋" w:eastAsia="仿宋" w:cs="仿宋"/>
          <w:sz w:val="32"/>
          <w:szCs w:val="32"/>
          <w:highlight w:val="none"/>
        </w:rPr>
        <w:t>厅保密</w:t>
      </w:r>
      <w:r>
        <w:rPr>
          <w:rFonts w:hint="eastAsia" w:ascii="仿宋" w:hAnsi="仿宋" w:eastAsia="仿宋" w:cs="仿宋"/>
          <w:sz w:val="32"/>
          <w:szCs w:val="32"/>
          <w:highlight w:val="none"/>
          <w:lang w:eastAsia="zh-CN"/>
        </w:rPr>
        <w:t>主管部门审核</w:t>
      </w:r>
      <w:r>
        <w:rPr>
          <w:rFonts w:hint="eastAsia" w:ascii="仿宋" w:hAnsi="仿宋" w:eastAsia="仿宋" w:cs="仿宋"/>
          <w:sz w:val="32"/>
          <w:szCs w:val="32"/>
          <w:highlight w:val="none"/>
        </w:rPr>
        <w:t>同意后报</w:t>
      </w:r>
      <w:r>
        <w:rPr>
          <w:rFonts w:hint="eastAsia" w:ascii="仿宋" w:hAnsi="仿宋" w:eastAsia="仿宋" w:cs="仿宋"/>
          <w:sz w:val="32"/>
          <w:szCs w:val="32"/>
          <w:highlight w:val="none"/>
          <w:lang w:eastAsia="zh-CN"/>
        </w:rPr>
        <w:t>批</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lang w:eastAsia="zh-CN"/>
        </w:rPr>
        <w:t>第十三条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除涉及国家秘密的项目外，项目审批应通过投资项目在线审批监管平台进行，项目审批部门通过在线平台办理项目审批手续。</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eastAsia" w:ascii="黑体" w:hAnsi="黑体" w:eastAsia="黑体" w:cs="黑体"/>
          <w:sz w:val="32"/>
          <w:szCs w:val="32"/>
          <w:highlight w:val="none"/>
          <w:lang w:eastAsia="zh-CN"/>
        </w:rPr>
        <w:t>第十四条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审批后的可行性研究报告，作为申请年度部门预算的依据</w:t>
      </w:r>
      <w:r>
        <w:rPr>
          <w:rFonts w:hint="eastAsia" w:ascii="仿宋" w:hAnsi="仿宋" w:eastAsia="仿宋" w:cs="仿宋"/>
          <w:sz w:val="32"/>
          <w:szCs w:val="32"/>
          <w:highlight w:val="none"/>
          <w:lang w:val="en-US" w:eastAsia="zh-CN"/>
        </w:rPr>
        <w:t>,并</w:t>
      </w:r>
      <w:r>
        <w:rPr>
          <w:rFonts w:hint="eastAsia" w:ascii="仿宋" w:hAnsi="仿宋" w:eastAsia="仿宋" w:cs="仿宋"/>
          <w:sz w:val="32"/>
          <w:szCs w:val="32"/>
          <w:highlight w:val="none"/>
          <w:lang w:eastAsia="zh-CN"/>
        </w:rPr>
        <w:t>作为申请交通运输部投资补助资金、编制项目资金申请报告的依据。</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lang w:eastAsia="zh-CN"/>
        </w:rPr>
        <w:t>第十五条</w:t>
      </w:r>
      <w:r>
        <w:rPr>
          <w:rFonts w:hint="eastAsia" w:ascii="仿宋" w:hAnsi="仿宋" w:eastAsia="仿宋" w:cs="仿宋"/>
          <w:sz w:val="32"/>
          <w:szCs w:val="32"/>
          <w:highlight w:val="none"/>
          <w:lang w:eastAsia="zh-CN"/>
        </w:rPr>
        <w:t xml:space="preserve"> 按自治区相关规定，总投资</w:t>
      </w:r>
      <w:r>
        <w:rPr>
          <w:rFonts w:hint="eastAsia" w:ascii="仿宋" w:hAnsi="仿宋" w:eastAsia="仿宋" w:cs="仿宋"/>
          <w:sz w:val="32"/>
          <w:szCs w:val="32"/>
          <w:highlight w:val="none"/>
          <w:lang w:val="en-US" w:eastAsia="zh-CN"/>
        </w:rPr>
        <w:t>3000万元以上的信息化项目，应向自治区</w:t>
      </w:r>
      <w:r>
        <w:rPr>
          <w:rFonts w:hint="eastAsia" w:ascii="仿宋" w:hAnsi="仿宋" w:eastAsia="仿宋" w:cs="仿宋"/>
          <w:sz w:val="32"/>
          <w:szCs w:val="32"/>
          <w:highlight w:val="none"/>
          <w:lang w:eastAsia="zh-CN"/>
        </w:rPr>
        <w:t>发展改革委</w:t>
      </w:r>
      <w:r>
        <w:rPr>
          <w:rFonts w:hint="eastAsia" w:ascii="仿宋" w:hAnsi="仿宋" w:eastAsia="仿宋" w:cs="仿宋"/>
          <w:sz w:val="32"/>
          <w:szCs w:val="32"/>
          <w:highlight w:val="none"/>
          <w:lang w:val="en-US" w:eastAsia="zh-CN"/>
        </w:rPr>
        <w:t>报批项目建议书、可行性研究报告、初步设计；总投资3000万元（不含）以下，1000万元以上的信息化项目，应向自治区</w:t>
      </w:r>
      <w:r>
        <w:rPr>
          <w:rFonts w:hint="eastAsia" w:ascii="仿宋" w:hAnsi="仿宋" w:eastAsia="仿宋" w:cs="仿宋"/>
          <w:sz w:val="32"/>
          <w:szCs w:val="32"/>
          <w:highlight w:val="none"/>
          <w:lang w:eastAsia="zh-CN"/>
        </w:rPr>
        <w:t>发展改革委</w:t>
      </w:r>
      <w:r>
        <w:rPr>
          <w:rFonts w:hint="eastAsia" w:ascii="仿宋" w:hAnsi="仿宋" w:eastAsia="仿宋" w:cs="仿宋"/>
          <w:sz w:val="32"/>
          <w:szCs w:val="32"/>
          <w:highlight w:val="none"/>
          <w:lang w:val="en-US" w:eastAsia="zh-CN"/>
        </w:rPr>
        <w:t>报批可行性研究报告、初步设计；总投资1000万元（不含）以下的信息化项目，应向自治区</w:t>
      </w:r>
      <w:r>
        <w:rPr>
          <w:rFonts w:hint="eastAsia" w:ascii="仿宋" w:hAnsi="仿宋" w:eastAsia="仿宋" w:cs="仿宋"/>
          <w:sz w:val="32"/>
          <w:szCs w:val="32"/>
          <w:highlight w:val="none"/>
          <w:lang w:eastAsia="zh-CN"/>
        </w:rPr>
        <w:t>发展改革委</w:t>
      </w:r>
      <w:r>
        <w:rPr>
          <w:rFonts w:hint="eastAsia" w:ascii="仿宋" w:hAnsi="仿宋" w:eastAsia="仿宋" w:cs="仿宋"/>
          <w:sz w:val="32"/>
          <w:szCs w:val="32"/>
          <w:highlight w:val="none"/>
          <w:lang w:val="en-US" w:eastAsia="zh-CN"/>
        </w:rPr>
        <w:t>直接报批建设方案。</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lang w:eastAsia="zh-CN"/>
        </w:rPr>
        <w:t>第十六条</w:t>
      </w:r>
      <w:r>
        <w:rPr>
          <w:rFonts w:hint="eastAsia" w:ascii="仿宋" w:hAnsi="仿宋" w:eastAsia="仿宋" w:cs="仿宋"/>
          <w:sz w:val="32"/>
          <w:szCs w:val="32"/>
          <w:highlight w:val="none"/>
        </w:rPr>
        <w:t xml:space="preserve"> 交通运输基建项目中包含信息化建设内容的，</w:t>
      </w:r>
      <w:r>
        <w:rPr>
          <w:rFonts w:hint="eastAsia" w:ascii="仿宋" w:hAnsi="仿宋" w:eastAsia="仿宋" w:cs="仿宋"/>
          <w:sz w:val="32"/>
          <w:szCs w:val="32"/>
          <w:highlight w:val="none"/>
          <w:lang w:eastAsia="zh-CN"/>
        </w:rPr>
        <w:t>其中信息化建设内容，由交通运输厅</w:t>
      </w:r>
      <w:bookmarkStart w:id="0" w:name="_GoBack"/>
      <w:bookmarkEnd w:id="0"/>
      <w:r>
        <w:rPr>
          <w:rFonts w:hint="eastAsia" w:ascii="仿宋" w:hAnsi="仿宋" w:eastAsia="仿宋" w:cs="仿宋"/>
          <w:sz w:val="32"/>
          <w:szCs w:val="32"/>
          <w:highlight w:val="none"/>
          <w:lang w:eastAsia="zh-CN"/>
        </w:rPr>
        <w:t>审</w:t>
      </w:r>
      <w:r>
        <w:rPr>
          <w:rFonts w:hint="eastAsia" w:ascii="仿宋" w:hAnsi="仿宋" w:eastAsia="仿宋" w:cs="仿宋"/>
          <w:sz w:val="32"/>
          <w:szCs w:val="32"/>
          <w:highlight w:val="none"/>
          <w:lang w:val="en-US" w:eastAsia="zh-CN"/>
        </w:rPr>
        <w:t>核</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lang w:eastAsia="zh-CN"/>
        </w:rPr>
        <w:t>第十七条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交通运输信息化项目</w:t>
      </w:r>
      <w:r>
        <w:rPr>
          <w:rFonts w:hint="eastAsia" w:ascii="仿宋" w:hAnsi="仿宋" w:eastAsia="仿宋" w:cs="仿宋"/>
          <w:sz w:val="32"/>
          <w:szCs w:val="32"/>
          <w:highlight w:val="none"/>
          <w:lang w:eastAsia="zh-CN"/>
        </w:rPr>
        <w:t>原则上不得新增非涉密的网络、机房、服务器等基础设施</w:t>
      </w:r>
      <w:r>
        <w:rPr>
          <w:rFonts w:hint="eastAsia" w:ascii="仿宋" w:hAnsi="仿宋" w:eastAsia="仿宋" w:cs="仿宋"/>
          <w:sz w:val="32"/>
          <w:szCs w:val="32"/>
          <w:lang w:val="en-US" w:eastAsia="zh-CN"/>
        </w:rPr>
        <w:t>,</w:t>
      </w:r>
      <w:r>
        <w:rPr>
          <w:rFonts w:hint="eastAsia" w:ascii="仿宋" w:hAnsi="仿宋" w:eastAsia="仿宋" w:cs="仿宋"/>
          <w:sz w:val="32"/>
          <w:szCs w:val="32"/>
          <w:highlight w:val="none"/>
          <w:lang w:val="en-US" w:eastAsia="zh-CN"/>
        </w:rPr>
        <w:t>如确实需要应优</w:t>
      </w:r>
      <w:r>
        <w:rPr>
          <w:rFonts w:hint="eastAsia" w:ascii="仿宋" w:hAnsi="仿宋" w:eastAsia="仿宋" w:cs="仿宋"/>
          <w:sz w:val="32"/>
          <w:szCs w:val="32"/>
          <w:lang w:eastAsia="zh-CN"/>
        </w:rPr>
        <w:t>先采购自主可控的信息安全设备、核心网络设备、基础软件、系统软件和业务应用软件、北斗导航定位系统等关键产品和服务</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66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项目</w:t>
      </w:r>
      <w:r>
        <w:rPr>
          <w:rFonts w:hint="eastAsia" w:ascii="黑体" w:hAnsi="黑体" w:eastAsia="黑体" w:cs="黑体"/>
          <w:sz w:val="32"/>
          <w:szCs w:val="32"/>
          <w:highlight w:val="none"/>
          <w:lang w:eastAsia="zh-CN"/>
        </w:rPr>
        <w:t>建设</w:t>
      </w:r>
      <w:r>
        <w:rPr>
          <w:rFonts w:hint="eastAsia" w:ascii="黑体" w:hAnsi="黑体" w:eastAsia="黑体" w:cs="黑体"/>
          <w:sz w:val="32"/>
          <w:szCs w:val="32"/>
          <w:highlight w:val="none"/>
        </w:rPr>
        <w:t>管理</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highlight w:val="none"/>
          <w:lang w:eastAsia="zh-CN"/>
        </w:rPr>
        <w:t>第十八条</w:t>
      </w:r>
      <w:r>
        <w:rPr>
          <w:rFonts w:hint="eastAsia" w:ascii="仿宋" w:hAnsi="仿宋" w:eastAsia="仿宋" w:cs="仿宋"/>
          <w:sz w:val="32"/>
          <w:szCs w:val="32"/>
        </w:rPr>
        <w:t xml:space="preserve"> 项目建设单位应当建立健全管理规章制度，配备相应的管理人员，</w:t>
      </w:r>
      <w:r>
        <w:rPr>
          <w:rFonts w:hint="eastAsia" w:ascii="仿宋" w:hAnsi="仿宋" w:eastAsia="仿宋" w:cs="仿宋"/>
          <w:sz w:val="32"/>
          <w:szCs w:val="32"/>
          <w:lang w:eastAsia="zh-CN"/>
        </w:rPr>
        <w:t>严格执行招标投标、政府采购、工程监理、合同管理等制度，</w:t>
      </w:r>
      <w:r>
        <w:rPr>
          <w:rFonts w:hint="eastAsia" w:ascii="仿宋" w:hAnsi="仿宋" w:eastAsia="仿宋" w:cs="仿宋"/>
          <w:sz w:val="32"/>
          <w:szCs w:val="32"/>
        </w:rPr>
        <w:t>加强对信息化项目建设的全过程管理。</w:t>
      </w:r>
      <w:r>
        <w:rPr>
          <w:rFonts w:hint="eastAsia" w:ascii="仿宋" w:hAnsi="仿宋" w:eastAsia="仿宋" w:cs="仿宋"/>
          <w:sz w:val="32"/>
          <w:szCs w:val="32"/>
          <w:highlight w:val="none"/>
          <w:lang w:val="en-US" w:eastAsia="zh-CN"/>
        </w:rPr>
        <w:t>加强对项目资金的使用管理，严格按照财政管理有关规定使用财政资金，确保项目资金专款专用和资金安全，严禁截留、挤占、挪用、骗取信息化专项资金。资金管理实行年度预算，年度预算和预算执行情况按要求报交通运输厅审查。</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highlight w:val="none"/>
          <w:lang w:eastAsia="zh-CN"/>
        </w:rPr>
        <w:t>第十九条</w:t>
      </w:r>
      <w:r>
        <w:rPr>
          <w:rFonts w:hint="eastAsia" w:ascii="仿宋" w:hAnsi="仿宋" w:eastAsia="仿宋" w:cs="仿宋"/>
          <w:sz w:val="32"/>
          <w:szCs w:val="32"/>
        </w:rPr>
        <w:t xml:space="preserve"> 承担</w:t>
      </w:r>
      <w:r>
        <w:rPr>
          <w:rFonts w:hint="eastAsia" w:ascii="仿宋" w:hAnsi="仿宋" w:eastAsia="仿宋" w:cs="仿宋"/>
          <w:sz w:val="32"/>
          <w:szCs w:val="32"/>
          <w:lang w:eastAsia="zh-CN"/>
        </w:rPr>
        <w:t>自治区</w:t>
      </w:r>
      <w:r>
        <w:rPr>
          <w:rFonts w:hint="eastAsia" w:ascii="仿宋" w:hAnsi="仿宋" w:eastAsia="仿宋" w:cs="仿宋"/>
          <w:sz w:val="32"/>
          <w:szCs w:val="32"/>
        </w:rPr>
        <w:t>交通运输信息化建设</w:t>
      </w:r>
      <w:r>
        <w:rPr>
          <w:rFonts w:hint="eastAsia" w:ascii="仿宋" w:hAnsi="仿宋" w:eastAsia="仿宋" w:cs="仿宋"/>
          <w:sz w:val="32"/>
          <w:szCs w:val="32"/>
          <w:lang w:eastAsia="zh-CN"/>
        </w:rPr>
        <w:t>的</w:t>
      </w:r>
      <w:r>
        <w:rPr>
          <w:rFonts w:hint="eastAsia" w:ascii="仿宋" w:hAnsi="仿宋" w:eastAsia="仿宋" w:cs="仿宋"/>
          <w:sz w:val="32"/>
          <w:szCs w:val="32"/>
        </w:rPr>
        <w:t>项目咨询、设计、施工、监理</w:t>
      </w:r>
      <w:r>
        <w:rPr>
          <w:rFonts w:hint="eastAsia" w:ascii="仿宋" w:hAnsi="仿宋" w:eastAsia="仿宋" w:cs="仿宋"/>
          <w:sz w:val="32"/>
          <w:szCs w:val="32"/>
          <w:lang w:eastAsia="zh-CN"/>
        </w:rPr>
        <w:t>等参建单位</w:t>
      </w:r>
      <w:r>
        <w:rPr>
          <w:rFonts w:hint="eastAsia" w:ascii="仿宋" w:hAnsi="仿宋" w:eastAsia="仿宋" w:cs="仿宋"/>
          <w:sz w:val="32"/>
          <w:szCs w:val="32"/>
        </w:rPr>
        <w:t>，应当具有相应的资质或者相关业绩，由建设单位按规定在项目招标文件中明确。</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highlight w:val="none"/>
          <w:lang w:eastAsia="zh-CN"/>
        </w:rPr>
        <w:t>第二十条</w:t>
      </w:r>
      <w:r>
        <w:rPr>
          <w:rFonts w:hint="eastAsia" w:ascii="仿宋" w:hAnsi="仿宋" w:eastAsia="仿宋" w:cs="仿宋"/>
          <w:sz w:val="32"/>
          <w:szCs w:val="32"/>
        </w:rPr>
        <w:t xml:space="preserve"> 项目建设单位应当按照《</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"http://www.baidu.com/link?url=8v6pGmsSK53PFJefG_EeAhHUgnLK0ZLTcGvFh2oRAofwzDbHQiDAZCDqP1zK9PrOAwh-ppKkNWRT7qizzpaVqq" \t "_blank" </w:instrText>
      </w:r>
      <w:r>
        <w:rPr>
          <w:rFonts w:hint="eastAsia" w:ascii="仿宋" w:hAnsi="仿宋" w:eastAsia="仿宋" w:cs="仿宋"/>
          <w:sz w:val="32"/>
          <w:szCs w:val="32"/>
        </w:rPr>
        <w:fldChar w:fldCharType="separate"/>
      </w:r>
      <w:r>
        <w:rPr>
          <w:rFonts w:hint="eastAsia" w:ascii="仿宋" w:hAnsi="仿宋" w:eastAsia="仿宋" w:cs="仿宋"/>
          <w:sz w:val="32"/>
          <w:szCs w:val="32"/>
        </w:rPr>
        <w:t>中华人民共和国招标投标法</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"http://www.baidu.com/link?url=GdRF9IHt2zqUAms0wGeviqnm7C254lxG2q7PKHmvTnofVQl_WV-TvpZMvmHXHu-a6fzF7xL0Nf_0SzPOBbGaCa" \t "_blank" </w:instrText>
      </w:r>
      <w:r>
        <w:rPr>
          <w:rFonts w:hint="eastAsia" w:ascii="仿宋" w:hAnsi="仿宋" w:eastAsia="仿宋" w:cs="仿宋"/>
          <w:sz w:val="32"/>
          <w:szCs w:val="32"/>
        </w:rPr>
        <w:fldChar w:fldCharType="separate"/>
      </w:r>
      <w:r>
        <w:rPr>
          <w:rFonts w:hint="eastAsia" w:ascii="仿宋" w:hAnsi="仿宋" w:eastAsia="仿宋" w:cs="仿宋"/>
          <w:sz w:val="32"/>
          <w:szCs w:val="32"/>
        </w:rPr>
        <w:t>中华人民共和国政府采购法</w:t>
      </w:r>
      <w:r>
        <w:rPr>
          <w:rFonts w:hint="eastAsia" w:ascii="仿宋" w:hAnsi="仿宋" w:eastAsia="仿宋" w:cs="仿宋"/>
          <w:sz w:val="32"/>
          <w:szCs w:val="32"/>
        </w:rPr>
        <w:fldChar w:fldCharType="end"/>
      </w:r>
      <w:r>
        <w:rPr>
          <w:rFonts w:hint="eastAsia" w:ascii="仿宋" w:hAnsi="仿宋" w:eastAsia="仿宋" w:cs="仿宋"/>
          <w:sz w:val="32"/>
          <w:szCs w:val="32"/>
        </w:rPr>
        <w:t>》等法律法规</w:t>
      </w:r>
      <w:r>
        <w:rPr>
          <w:rFonts w:hint="eastAsia" w:ascii="仿宋" w:hAnsi="仿宋" w:eastAsia="仿宋" w:cs="仿宋"/>
          <w:sz w:val="32"/>
          <w:szCs w:val="32"/>
          <w:lang w:eastAsia="zh-CN"/>
        </w:rPr>
        <w:t>以及</w:t>
      </w:r>
      <w:r>
        <w:rPr>
          <w:rFonts w:hint="eastAsia" w:ascii="仿宋" w:hAnsi="仿宋" w:eastAsia="仿宋" w:cs="仿宋"/>
          <w:sz w:val="32"/>
          <w:szCs w:val="32"/>
        </w:rPr>
        <w:t>信息化项目建设有关标准、规范，组织开展建设各阶段工作，加强合同管理以及质量、进度和资金控制，做好对</w:t>
      </w:r>
      <w:r>
        <w:rPr>
          <w:rFonts w:hint="eastAsia" w:ascii="仿宋" w:hAnsi="仿宋" w:eastAsia="仿宋" w:cs="仿宋"/>
          <w:sz w:val="32"/>
          <w:szCs w:val="32"/>
          <w:lang w:eastAsia="zh-CN"/>
        </w:rPr>
        <w:t>其他</w:t>
      </w:r>
      <w:r>
        <w:rPr>
          <w:rFonts w:hint="eastAsia" w:ascii="仿宋" w:hAnsi="仿宋" w:eastAsia="仿宋" w:cs="仿宋"/>
          <w:sz w:val="32"/>
          <w:szCs w:val="32"/>
        </w:rPr>
        <w:t>参建单位履约考核工作。</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二十一</w:t>
      </w:r>
      <w:r>
        <w:rPr>
          <w:rFonts w:hint="eastAsia" w:ascii="黑体" w:hAnsi="黑体" w:eastAsia="黑体" w:cs="黑体"/>
          <w:sz w:val="32"/>
          <w:szCs w:val="32"/>
          <w:highlight w:val="none"/>
        </w:rPr>
        <w:t>条</w:t>
      </w:r>
      <w:r>
        <w:rPr>
          <w:rFonts w:hint="eastAsia" w:ascii="仿宋" w:hAnsi="仿宋" w:eastAsia="仿宋" w:cs="仿宋"/>
          <w:sz w:val="32"/>
          <w:szCs w:val="32"/>
        </w:rPr>
        <w:t xml:space="preserve"> 项目</w:t>
      </w:r>
      <w:r>
        <w:rPr>
          <w:rFonts w:hint="eastAsia" w:ascii="仿宋" w:hAnsi="仿宋" w:eastAsia="仿宋" w:cs="仿宋"/>
          <w:sz w:val="32"/>
          <w:szCs w:val="32"/>
          <w:lang w:eastAsia="zh-CN"/>
        </w:rPr>
        <w:t>建设</w:t>
      </w:r>
      <w:r>
        <w:rPr>
          <w:rFonts w:hint="eastAsia" w:ascii="仿宋" w:hAnsi="仿宋" w:eastAsia="仿宋" w:cs="仿宋"/>
          <w:sz w:val="32"/>
          <w:szCs w:val="32"/>
        </w:rPr>
        <w:t>应</w:t>
      </w:r>
      <w:r>
        <w:rPr>
          <w:rFonts w:hint="eastAsia" w:ascii="仿宋" w:hAnsi="仿宋" w:eastAsia="仿宋" w:cs="仿宋"/>
          <w:sz w:val="32"/>
          <w:szCs w:val="32"/>
          <w:lang w:eastAsia="zh-CN"/>
        </w:rPr>
        <w:t>按照项目投资情况</w:t>
      </w:r>
      <w:r>
        <w:rPr>
          <w:rFonts w:hint="eastAsia" w:ascii="仿宋" w:hAnsi="仿宋" w:eastAsia="仿宋" w:cs="仿宋"/>
          <w:sz w:val="32"/>
          <w:szCs w:val="32"/>
        </w:rPr>
        <w:t>实行工程监理制，</w:t>
      </w:r>
      <w:r>
        <w:rPr>
          <w:rFonts w:hint="eastAsia" w:ascii="仿宋" w:hAnsi="仿宋" w:eastAsia="仿宋" w:cs="仿宋"/>
          <w:sz w:val="32"/>
          <w:szCs w:val="32"/>
          <w:lang w:eastAsia="zh-CN"/>
        </w:rPr>
        <w:t>项目建设单位应当督促</w:t>
      </w:r>
      <w:r>
        <w:rPr>
          <w:rFonts w:hint="eastAsia" w:ascii="仿宋" w:hAnsi="仿宋" w:eastAsia="仿宋" w:cs="仿宋"/>
          <w:sz w:val="32"/>
          <w:szCs w:val="32"/>
        </w:rPr>
        <w:t>监理单位按照有关规定和合同要求，履行对项目的质量、进度、投资</w:t>
      </w:r>
      <w:r>
        <w:rPr>
          <w:rFonts w:hint="eastAsia" w:ascii="仿宋" w:hAnsi="仿宋" w:eastAsia="仿宋" w:cs="仿宋"/>
          <w:sz w:val="32"/>
          <w:szCs w:val="32"/>
          <w:lang w:eastAsia="zh-CN"/>
        </w:rPr>
        <w:t>进行监</w:t>
      </w:r>
      <w:r>
        <w:rPr>
          <w:rFonts w:hint="eastAsia" w:ascii="仿宋" w:hAnsi="仿宋" w:eastAsia="仿宋" w:cs="仿宋"/>
          <w:sz w:val="32"/>
          <w:szCs w:val="32"/>
        </w:rPr>
        <w:t>理，并按照相关要求和标准、规范，对项目建设标准符合性检测、安装部署联调、系统接口开发及工序衔接、应用与联网测试等关键环节进行监理。</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highlight w:val="none"/>
          <w:lang w:eastAsia="zh-CN"/>
        </w:rPr>
        <w:t>第二十二条</w:t>
      </w:r>
      <w:r>
        <w:rPr>
          <w:rFonts w:hint="eastAsia" w:ascii="仿宋" w:hAnsi="仿宋" w:eastAsia="仿宋" w:cs="仿宋"/>
          <w:sz w:val="32"/>
          <w:szCs w:val="32"/>
        </w:rPr>
        <w:t xml:space="preserve"> 项目建设单位应当按照批准的建设内容和工期组织项目实施，每</w:t>
      </w:r>
      <w:r>
        <w:rPr>
          <w:rFonts w:hint="eastAsia" w:ascii="仿宋" w:hAnsi="仿宋" w:eastAsia="仿宋" w:cs="仿宋"/>
          <w:sz w:val="32"/>
          <w:szCs w:val="32"/>
          <w:lang w:eastAsia="zh-CN"/>
        </w:rPr>
        <w:t>半年</w:t>
      </w:r>
      <w:r>
        <w:rPr>
          <w:rFonts w:hint="eastAsia" w:ascii="仿宋" w:hAnsi="仿宋" w:eastAsia="仿宋" w:cs="仿宋"/>
          <w:sz w:val="32"/>
          <w:szCs w:val="32"/>
        </w:rPr>
        <w:t>向</w:t>
      </w:r>
      <w:r>
        <w:rPr>
          <w:rFonts w:hint="eastAsia" w:ascii="仿宋" w:hAnsi="仿宋" w:eastAsia="仿宋" w:cs="仿宋"/>
          <w:sz w:val="32"/>
          <w:szCs w:val="32"/>
          <w:lang w:eastAsia="zh-CN"/>
        </w:rPr>
        <w:t>交通运输厅</w:t>
      </w:r>
      <w:r>
        <w:rPr>
          <w:rFonts w:hint="eastAsia" w:ascii="仿宋" w:hAnsi="仿宋" w:eastAsia="仿宋" w:cs="仿宋"/>
          <w:sz w:val="32"/>
          <w:szCs w:val="32"/>
        </w:rPr>
        <w:t>报送项目执行和系统开发进度情况。</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 w:hAnsi="仿宋" w:eastAsia="仿宋" w:cs="仿宋"/>
          <w:sz w:val="32"/>
          <w:szCs w:val="32"/>
        </w:rPr>
        <w:t xml:space="preserve"> 项目建设过程中发生设计变更的应当按照规定办理有关手续</w:t>
      </w:r>
      <w:r>
        <w:rPr>
          <w:rFonts w:hint="eastAsia" w:ascii="仿宋" w:hAnsi="仿宋" w:eastAsia="仿宋" w:cs="仿宋"/>
          <w:sz w:val="32"/>
          <w:szCs w:val="32"/>
          <w:lang w:eastAsia="zh-CN"/>
        </w:rPr>
        <w:t>。</w:t>
      </w:r>
      <w:r>
        <w:rPr>
          <w:rFonts w:hint="eastAsia" w:ascii="仿宋" w:hAnsi="仿宋" w:eastAsia="仿宋" w:cs="仿宋"/>
          <w:sz w:val="32"/>
          <w:szCs w:val="32"/>
        </w:rPr>
        <w:t>其中：一般设计变更由项目建设单位组织论证后</w:t>
      </w:r>
      <w:r>
        <w:rPr>
          <w:rFonts w:hint="eastAsia" w:ascii="仿宋" w:hAnsi="仿宋" w:eastAsia="仿宋" w:cs="仿宋"/>
          <w:sz w:val="32"/>
          <w:szCs w:val="32"/>
          <w:lang w:eastAsia="zh-CN"/>
        </w:rPr>
        <w:t>，</w:t>
      </w:r>
      <w:r>
        <w:rPr>
          <w:rFonts w:hint="eastAsia" w:ascii="仿宋" w:hAnsi="仿宋" w:eastAsia="仿宋" w:cs="仿宋"/>
          <w:sz w:val="32"/>
          <w:szCs w:val="32"/>
        </w:rPr>
        <w:t>将变更内容及原因形成书面申请文件经</w:t>
      </w:r>
      <w:r>
        <w:rPr>
          <w:rFonts w:hint="eastAsia" w:ascii="仿宋" w:hAnsi="仿宋" w:eastAsia="仿宋" w:cs="仿宋"/>
          <w:sz w:val="32"/>
          <w:szCs w:val="32"/>
          <w:lang w:eastAsia="zh-CN"/>
        </w:rPr>
        <w:t>交通运输厅审核</w:t>
      </w:r>
      <w:r>
        <w:rPr>
          <w:rFonts w:hint="eastAsia" w:ascii="仿宋" w:hAnsi="仿宋" w:eastAsia="仿宋" w:cs="仿宋"/>
          <w:sz w:val="32"/>
          <w:szCs w:val="32"/>
        </w:rPr>
        <w:t>批准</w:t>
      </w:r>
      <w:r>
        <w:rPr>
          <w:rFonts w:hint="eastAsia" w:ascii="仿宋" w:hAnsi="仿宋" w:eastAsia="仿宋" w:cs="仿宋"/>
          <w:sz w:val="32"/>
          <w:szCs w:val="32"/>
          <w:lang w:eastAsia="zh-CN"/>
        </w:rPr>
        <w:t>报项目审批部门备案</w:t>
      </w:r>
      <w:r>
        <w:rPr>
          <w:rFonts w:hint="eastAsia" w:ascii="仿宋" w:hAnsi="仿宋" w:eastAsia="仿宋" w:cs="仿宋"/>
          <w:sz w:val="32"/>
          <w:szCs w:val="32"/>
        </w:rPr>
        <w:t>后方可实施；重大设计变更由项目建设单位</w:t>
      </w:r>
      <w:r>
        <w:rPr>
          <w:rFonts w:hint="eastAsia" w:ascii="仿宋" w:hAnsi="仿宋" w:eastAsia="仿宋" w:cs="仿宋"/>
          <w:sz w:val="32"/>
          <w:szCs w:val="32"/>
          <w:lang w:eastAsia="zh-CN"/>
        </w:rPr>
        <w:t>提交项目设计变更报告（包括项目基本情况、变更内容及资金概算、调整说明及其相关材料等），经交通运输厅审核后，按照自治区有关要求履行</w:t>
      </w:r>
      <w:r>
        <w:rPr>
          <w:rFonts w:hint="eastAsia" w:ascii="仿宋" w:hAnsi="仿宋" w:eastAsia="仿宋" w:cs="仿宋"/>
          <w:sz w:val="32"/>
          <w:szCs w:val="32"/>
        </w:rPr>
        <w:t>报批</w:t>
      </w:r>
      <w:r>
        <w:rPr>
          <w:rFonts w:hint="eastAsia" w:ascii="仿宋" w:hAnsi="仿宋" w:eastAsia="仿宋" w:cs="仿宋"/>
          <w:sz w:val="32"/>
          <w:szCs w:val="32"/>
          <w:lang w:eastAsia="zh-CN"/>
        </w:rPr>
        <w:t>手续</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一般设计变更，指</w:t>
      </w:r>
      <w:r>
        <w:rPr>
          <w:rFonts w:hint="eastAsia" w:ascii="仿宋" w:hAnsi="仿宋" w:eastAsia="仿宋" w:cs="仿宋"/>
          <w:sz w:val="32"/>
          <w:szCs w:val="32"/>
          <w:lang w:eastAsia="zh-CN"/>
        </w:rPr>
        <w:t>原有建设目标不变，确属于对原项目技术方案完善优化，投资规模未超出批复总概算，只</w:t>
      </w:r>
      <w:r>
        <w:rPr>
          <w:rFonts w:hint="eastAsia" w:ascii="仿宋" w:hAnsi="仿宋" w:eastAsia="仿宋" w:cs="仿宋"/>
          <w:sz w:val="32"/>
          <w:szCs w:val="32"/>
        </w:rPr>
        <w:t>涉及局部修改以及实施过程中一般设计问题处理引起的改变的设计变更。</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重大设计变更，指涉及项目建设目标</w:t>
      </w:r>
      <w:r>
        <w:rPr>
          <w:rFonts w:hint="eastAsia" w:ascii="仿宋" w:hAnsi="仿宋" w:eastAsia="仿宋" w:cs="仿宋"/>
          <w:sz w:val="32"/>
          <w:szCs w:val="32"/>
          <w:lang w:eastAsia="zh-CN"/>
        </w:rPr>
        <w:t>、标准、</w:t>
      </w:r>
      <w:r>
        <w:rPr>
          <w:rFonts w:hint="eastAsia" w:ascii="仿宋" w:hAnsi="仿宋" w:eastAsia="仿宋" w:cs="仿宋"/>
          <w:sz w:val="32"/>
          <w:szCs w:val="32"/>
        </w:rPr>
        <w:t>规模、</w:t>
      </w:r>
      <w:r>
        <w:rPr>
          <w:rFonts w:hint="eastAsia" w:ascii="仿宋" w:hAnsi="仿宋" w:eastAsia="仿宋" w:cs="仿宋"/>
          <w:sz w:val="32"/>
          <w:szCs w:val="32"/>
          <w:lang w:eastAsia="zh-CN"/>
        </w:rPr>
        <w:t>建设内容、系统</w:t>
      </w:r>
      <w:r>
        <w:rPr>
          <w:rFonts w:hint="eastAsia" w:ascii="仿宋" w:hAnsi="仿宋" w:eastAsia="仿宋" w:cs="仿宋"/>
          <w:sz w:val="32"/>
          <w:szCs w:val="32"/>
        </w:rPr>
        <w:t>功能</w:t>
      </w:r>
      <w:r>
        <w:rPr>
          <w:rFonts w:hint="eastAsia" w:ascii="仿宋" w:hAnsi="仿宋" w:eastAsia="仿宋" w:cs="仿宋"/>
          <w:sz w:val="32"/>
          <w:szCs w:val="32"/>
          <w:lang w:eastAsia="zh-CN"/>
        </w:rPr>
        <w:t>和架构</w:t>
      </w:r>
      <w:r>
        <w:rPr>
          <w:rFonts w:hint="eastAsia" w:ascii="仿宋" w:hAnsi="仿宋" w:eastAsia="仿宋" w:cs="仿宋"/>
          <w:sz w:val="32"/>
          <w:szCs w:val="32"/>
        </w:rPr>
        <w:t>、投资概算</w:t>
      </w:r>
      <w:r>
        <w:rPr>
          <w:rFonts w:hint="eastAsia" w:ascii="仿宋" w:hAnsi="仿宋" w:eastAsia="仿宋" w:cs="仿宋"/>
          <w:sz w:val="32"/>
          <w:szCs w:val="32"/>
          <w:lang w:eastAsia="zh-CN"/>
        </w:rPr>
        <w:t>（变更投资超出已批复总投资额度</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等改变的设计变更。</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涉及国家秘密的交通运输信息化建设项目，应由国家认可的具有相应涉密资质的机构设计开发，必须选用国家保密、密码管理部门认可的产品，建成后由国家认定的信息安全测评机构进行测评认证。</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二十五条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交通运输</w:t>
      </w:r>
      <w:r>
        <w:rPr>
          <w:rFonts w:hint="eastAsia" w:ascii="仿宋" w:hAnsi="仿宋" w:eastAsia="仿宋" w:cs="仿宋"/>
          <w:sz w:val="32"/>
          <w:szCs w:val="32"/>
          <w:highlight w:val="none"/>
        </w:rPr>
        <w:t>信息化项目</w:t>
      </w:r>
      <w:r>
        <w:rPr>
          <w:rFonts w:hint="eastAsia" w:ascii="仿宋" w:hAnsi="仿宋" w:eastAsia="仿宋" w:cs="仿宋"/>
          <w:sz w:val="32"/>
          <w:szCs w:val="32"/>
          <w:highlight w:val="none"/>
          <w:lang w:eastAsia="zh-CN"/>
        </w:rPr>
        <w:t>，由交通运输厅负责对项目从立项到竣工验收进行全过程监管。</w:t>
      </w:r>
    </w:p>
    <w:p>
      <w:pPr>
        <w:keepNext w:val="0"/>
        <w:keepLines w:val="0"/>
        <w:pageBreakBefore w:val="0"/>
        <w:widowControl w:val="0"/>
        <w:kinsoku/>
        <w:wordWrap/>
        <w:overflowPunct/>
        <w:topLinePunct w:val="0"/>
        <w:autoSpaceDE/>
        <w:autoSpaceDN/>
        <w:bidi w:val="0"/>
        <w:adjustRightInd/>
        <w:snapToGrid/>
        <w:spacing w:before="157" w:beforeLines="50" w:after="157" w:afterLines="50" w:line="66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第六章</w:t>
      </w:r>
      <w:r>
        <w:rPr>
          <w:rFonts w:hint="eastAsia" w:ascii="黑体" w:hAnsi="黑体" w:eastAsia="黑体" w:cs="黑体"/>
          <w:sz w:val="32"/>
          <w:szCs w:val="32"/>
          <w:highlight w:val="none"/>
          <w:lang w:val="en-US" w:eastAsia="zh-CN"/>
        </w:rPr>
        <w:t xml:space="preserve"> 项目</w:t>
      </w:r>
      <w:r>
        <w:rPr>
          <w:rFonts w:hint="eastAsia" w:ascii="黑体" w:hAnsi="黑体" w:eastAsia="黑体" w:cs="黑体"/>
          <w:sz w:val="32"/>
          <w:szCs w:val="32"/>
          <w:highlight w:val="none"/>
        </w:rPr>
        <w:t>验收及成果管理</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二十六条</w:t>
      </w:r>
      <w:r>
        <w:rPr>
          <w:rFonts w:hint="eastAsia" w:ascii="仿宋" w:hAnsi="仿宋" w:eastAsia="仿宋" w:cs="仿宋"/>
          <w:sz w:val="32"/>
          <w:szCs w:val="32"/>
          <w:highlight w:val="none"/>
          <w:lang w:val="en-US" w:eastAsia="zh-CN"/>
        </w:rPr>
        <w:t xml:space="preserve"> 交通运输信息化项目验收分为初步验收和竣工验收。初步验收由项目建设单位组织实施；竣工验收由项目审批部门组织实施。</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二十七条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项目建设完工、试运行满三个月后，由项目建设单位组织初步验收，交通运输厅会同有关单位人员参加。未经验收或验收不合格的信息化项目不得正式投入使用。</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eastAsia="zh-CN"/>
        </w:rPr>
        <w:t>初步</w:t>
      </w:r>
      <w:r>
        <w:rPr>
          <w:rFonts w:hint="eastAsia" w:ascii="仿宋" w:hAnsi="仿宋" w:eastAsia="仿宋" w:cs="仿宋"/>
          <w:sz w:val="32"/>
          <w:szCs w:val="32"/>
          <w:highlight w:val="none"/>
        </w:rPr>
        <w:t>验收时，应提交项目合同、设计</w:t>
      </w:r>
      <w:r>
        <w:rPr>
          <w:rFonts w:hint="eastAsia" w:ascii="仿宋" w:hAnsi="仿宋" w:eastAsia="仿宋" w:cs="仿宋"/>
          <w:sz w:val="32"/>
          <w:szCs w:val="32"/>
          <w:highlight w:val="none"/>
          <w:lang w:eastAsia="zh-CN"/>
        </w:rPr>
        <w:t>文件</w:t>
      </w:r>
      <w:r>
        <w:rPr>
          <w:rFonts w:hint="eastAsia" w:ascii="仿宋" w:hAnsi="仿宋" w:eastAsia="仿宋" w:cs="仿宋"/>
          <w:sz w:val="32"/>
          <w:szCs w:val="32"/>
          <w:highlight w:val="none"/>
        </w:rPr>
        <w:t>、用户使用手册、系统维护手册</w:t>
      </w:r>
      <w:r>
        <w:rPr>
          <w:rFonts w:hint="eastAsia" w:ascii="仿宋" w:hAnsi="仿宋" w:eastAsia="仿宋" w:cs="仿宋"/>
          <w:sz w:val="32"/>
          <w:szCs w:val="32"/>
          <w:highlight w:val="none"/>
          <w:lang w:eastAsia="zh-CN"/>
        </w:rPr>
        <w:t>（含特情处置预案）</w:t>
      </w:r>
      <w:r>
        <w:rPr>
          <w:rFonts w:hint="eastAsia" w:ascii="仿宋" w:hAnsi="仿宋" w:eastAsia="仿宋" w:cs="仿宋"/>
          <w:sz w:val="32"/>
          <w:szCs w:val="32"/>
          <w:highlight w:val="none"/>
        </w:rPr>
        <w:t>、财</w:t>
      </w:r>
      <w:r>
        <w:rPr>
          <w:rFonts w:hint="eastAsia" w:ascii="仿宋" w:hAnsi="仿宋" w:eastAsia="仿宋" w:cs="仿宋"/>
          <w:sz w:val="32"/>
          <w:szCs w:val="32"/>
          <w:highlight w:val="none"/>
          <w:lang w:eastAsia="zh-CN"/>
        </w:rPr>
        <w:t>务情况</w:t>
      </w:r>
      <w:r>
        <w:rPr>
          <w:rFonts w:hint="eastAsia" w:ascii="仿宋" w:hAnsi="仿宋" w:eastAsia="仿宋" w:cs="仿宋"/>
          <w:sz w:val="32"/>
          <w:szCs w:val="32"/>
          <w:highlight w:val="none"/>
        </w:rPr>
        <w:t>报告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数据资源目录清单、信息网络安全风险评估报告</w:t>
      </w:r>
      <w:r>
        <w:rPr>
          <w:rFonts w:hint="eastAsia" w:ascii="仿宋" w:hAnsi="仿宋" w:eastAsia="仿宋" w:cs="仿宋"/>
          <w:sz w:val="32"/>
          <w:szCs w:val="32"/>
          <w:highlight w:val="none"/>
        </w:rPr>
        <w:t>等文档</w:t>
      </w:r>
      <w:r>
        <w:rPr>
          <w:rFonts w:hint="eastAsia" w:ascii="仿宋" w:hAnsi="仿宋" w:eastAsia="仿宋" w:cs="仿宋"/>
          <w:sz w:val="32"/>
          <w:szCs w:val="32"/>
          <w:highlight w:val="none"/>
          <w:lang w:eastAsia="zh-CN"/>
        </w:rPr>
        <w:t>。同时建设单位提交项目检测报告，监理单位提交项目监理验收意见，设计单位提交设计符合性审查意见，项目用户提交使用情况报告。</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二十八</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项目通过初步验收、运行满六个月后，项目建设单位向交通运输厅提交项目竣工验收申请报告，同时上报项目建设总结、档案验收报告、审计报告、项目检测报告、用户使用报告和信息网络安全风险评估报告等文件，经交通运输厅审核后报项目审批部门组织竣工验收。</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涉及安全保密的项目，其安全保密部分由厅保密</w:t>
      </w:r>
      <w:r>
        <w:rPr>
          <w:rFonts w:hint="eastAsia" w:ascii="仿宋" w:hAnsi="仿宋" w:eastAsia="仿宋" w:cs="仿宋"/>
          <w:sz w:val="32"/>
          <w:szCs w:val="32"/>
          <w:highlight w:val="none"/>
          <w:lang w:eastAsia="zh-CN"/>
        </w:rPr>
        <w:t>主管部门</w:t>
      </w:r>
      <w:r>
        <w:rPr>
          <w:rFonts w:hint="eastAsia" w:ascii="仿宋" w:hAnsi="仿宋" w:eastAsia="仿宋" w:cs="仿宋"/>
          <w:sz w:val="32"/>
          <w:szCs w:val="32"/>
          <w:highlight w:val="none"/>
        </w:rPr>
        <w:t>负责</w:t>
      </w:r>
      <w:r>
        <w:rPr>
          <w:rFonts w:hint="eastAsia" w:ascii="仿宋" w:hAnsi="仿宋" w:eastAsia="仿宋" w:cs="仿宋"/>
          <w:sz w:val="32"/>
          <w:szCs w:val="32"/>
          <w:highlight w:val="none"/>
          <w:lang w:eastAsia="zh-CN"/>
        </w:rPr>
        <w:t>审核</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二十九</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根据信息系统</w:t>
      </w:r>
      <w:r>
        <w:rPr>
          <w:rFonts w:hint="eastAsia" w:ascii="仿宋" w:hAnsi="仿宋" w:eastAsia="仿宋" w:cs="仿宋"/>
          <w:sz w:val="32"/>
          <w:szCs w:val="32"/>
          <w:highlight w:val="none"/>
          <w:lang w:eastAsia="zh-CN"/>
        </w:rPr>
        <w:t>网络</w:t>
      </w:r>
      <w:r>
        <w:rPr>
          <w:rFonts w:hint="eastAsia" w:ascii="仿宋" w:hAnsi="仿宋" w:eastAsia="仿宋" w:cs="仿宋"/>
          <w:sz w:val="32"/>
          <w:szCs w:val="32"/>
          <w:highlight w:val="none"/>
        </w:rPr>
        <w:t>安全等级保护相关规定，</w:t>
      </w:r>
      <w:r>
        <w:rPr>
          <w:rFonts w:hint="eastAsia" w:ascii="仿宋" w:hAnsi="仿宋" w:eastAsia="仿宋" w:cs="仿宋"/>
          <w:sz w:val="32"/>
          <w:szCs w:val="32"/>
          <w:highlight w:val="none"/>
          <w:lang w:eastAsia="zh-CN"/>
        </w:rPr>
        <w:t>信息化</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eastAsia="zh-CN"/>
        </w:rPr>
        <w:t>在规划设计阶段应确定网络安全保护等级。对拟定为第二级以上的信息系统，项目建设单位应组织专家评审，报</w:t>
      </w:r>
      <w:r>
        <w:rPr>
          <w:rFonts w:hint="eastAsia" w:ascii="仿宋" w:hAnsi="仿宋" w:eastAsia="仿宋" w:cs="仿宋"/>
          <w:sz w:val="32"/>
          <w:szCs w:val="32"/>
          <w:highlight w:val="none"/>
          <w:lang w:val="en-US" w:eastAsia="zh-CN"/>
        </w:rPr>
        <w:t>交通运输厅</w:t>
      </w:r>
      <w:r>
        <w:rPr>
          <w:rFonts w:hint="eastAsia" w:ascii="仿宋" w:hAnsi="仿宋" w:eastAsia="仿宋" w:cs="仿宋"/>
          <w:sz w:val="32"/>
          <w:szCs w:val="32"/>
          <w:highlight w:val="none"/>
          <w:lang w:eastAsia="zh-CN"/>
        </w:rPr>
        <w:t>核准。网络</w:t>
      </w:r>
      <w:r>
        <w:rPr>
          <w:rFonts w:hint="eastAsia" w:ascii="仿宋" w:hAnsi="仿宋" w:eastAsia="仿宋" w:cs="仿宋"/>
          <w:sz w:val="32"/>
          <w:szCs w:val="32"/>
          <w:highlight w:val="none"/>
        </w:rPr>
        <w:t>安全等级为第二级以上（含第二级）的新建信息系统，项目建设单位在验收前需办理备案手续</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通过具有信息系统工程相应检测资质的第三方机构测试，完成信息系统安全等级保护测评工作，出具</w:t>
      </w:r>
      <w:r>
        <w:rPr>
          <w:rFonts w:hint="eastAsia" w:ascii="仿宋" w:hAnsi="仿宋" w:eastAsia="仿宋" w:cs="仿宋"/>
          <w:sz w:val="32"/>
          <w:szCs w:val="32"/>
          <w:highlight w:val="none"/>
          <w:lang w:eastAsia="zh-CN"/>
        </w:rPr>
        <w:t>等级保护测评</w:t>
      </w:r>
      <w:r>
        <w:rPr>
          <w:rFonts w:hint="eastAsia" w:ascii="仿宋" w:hAnsi="仿宋" w:eastAsia="仿宋" w:cs="仿宋"/>
          <w:sz w:val="32"/>
          <w:szCs w:val="32"/>
          <w:highlight w:val="none"/>
        </w:rPr>
        <w:t>报告。</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lang w:eastAsia="zh-CN"/>
        </w:rPr>
        <w:t>第三十条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项目建设单位</w:t>
      </w:r>
      <w:r>
        <w:rPr>
          <w:rFonts w:hint="eastAsia" w:ascii="仿宋" w:hAnsi="仿宋" w:eastAsia="仿宋" w:cs="仿宋"/>
          <w:sz w:val="32"/>
          <w:szCs w:val="32"/>
          <w:highlight w:val="none"/>
        </w:rPr>
        <w:t>必须按照国家《档案法》和科技档案的有关管理要求，加强交通运输信息化建设项目档案管理，确保交通运输信息化建设项目档案齐全、完整、准确、安全。</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项目建设单位</w:t>
      </w:r>
      <w:r>
        <w:rPr>
          <w:rFonts w:hint="eastAsia" w:ascii="仿宋" w:hAnsi="仿宋" w:eastAsia="仿宋" w:cs="仿宋"/>
          <w:sz w:val="32"/>
          <w:szCs w:val="32"/>
          <w:highlight w:val="none"/>
          <w:lang w:eastAsia="zh-CN"/>
        </w:rPr>
        <w:t>要</w:t>
      </w:r>
      <w:r>
        <w:rPr>
          <w:rFonts w:hint="eastAsia" w:ascii="仿宋" w:hAnsi="仿宋" w:eastAsia="仿宋" w:cs="仿宋"/>
          <w:sz w:val="32"/>
          <w:szCs w:val="32"/>
          <w:highlight w:val="none"/>
        </w:rPr>
        <w:t>重视交通运输信息化建设项目拥有自主知识产权的问题。在项目招标、签订合同、推广等环节中，都必须提出知识产权的拥有范围与形式（主要包括基础设施建设、应用系统、数据库等），项目完成后形成的全部工作成果及相关知识产权，除有特殊约定外，</w:t>
      </w:r>
      <w:r>
        <w:rPr>
          <w:rFonts w:hint="eastAsia" w:ascii="仿宋" w:hAnsi="仿宋" w:eastAsia="仿宋" w:cs="仿宋"/>
          <w:sz w:val="32"/>
          <w:szCs w:val="32"/>
          <w:highlight w:val="none"/>
          <w:lang w:eastAsia="zh-CN"/>
        </w:rPr>
        <w:t>一律</w:t>
      </w:r>
      <w:r>
        <w:rPr>
          <w:rFonts w:hint="eastAsia" w:ascii="仿宋" w:hAnsi="仿宋" w:eastAsia="仿宋" w:cs="仿宋"/>
          <w:sz w:val="32"/>
          <w:szCs w:val="32"/>
          <w:highlight w:val="none"/>
        </w:rPr>
        <w:t>归</w:t>
      </w:r>
      <w:r>
        <w:rPr>
          <w:rFonts w:hint="eastAsia" w:ascii="仿宋" w:hAnsi="仿宋" w:eastAsia="仿宋" w:cs="仿宋"/>
          <w:sz w:val="32"/>
          <w:szCs w:val="32"/>
          <w:highlight w:val="none"/>
          <w:lang w:eastAsia="zh-CN"/>
        </w:rPr>
        <w:t>项目建设单位</w:t>
      </w:r>
      <w:r>
        <w:rPr>
          <w:rFonts w:hint="eastAsia" w:ascii="仿宋" w:hAnsi="仿宋" w:eastAsia="仿宋" w:cs="仿宋"/>
          <w:sz w:val="32"/>
          <w:szCs w:val="32"/>
          <w:highlight w:val="none"/>
        </w:rPr>
        <w:t>所有。</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项</w:t>
      </w:r>
      <w:r>
        <w:rPr>
          <w:rFonts w:hint="eastAsia" w:ascii="仿宋" w:hAnsi="仿宋" w:eastAsia="仿宋" w:cs="仿宋"/>
          <w:sz w:val="32"/>
          <w:szCs w:val="32"/>
          <w:highlight w:val="none"/>
        </w:rPr>
        <w:t>目建</w:t>
      </w:r>
      <w:r>
        <w:rPr>
          <w:rFonts w:hint="eastAsia" w:ascii="仿宋" w:hAnsi="仿宋" w:eastAsia="仿宋" w:cs="仿宋"/>
          <w:sz w:val="32"/>
          <w:szCs w:val="32"/>
          <w:highlight w:val="none"/>
          <w:lang w:eastAsia="zh-CN"/>
        </w:rPr>
        <w:t>成后</w:t>
      </w:r>
      <w:r>
        <w:rPr>
          <w:rFonts w:hint="eastAsia" w:ascii="仿宋" w:hAnsi="仿宋" w:eastAsia="仿宋" w:cs="仿宋"/>
          <w:sz w:val="32"/>
          <w:szCs w:val="32"/>
          <w:highlight w:val="none"/>
        </w:rPr>
        <w:t>形成的固定资产，应当按照</w:t>
      </w:r>
      <w:r>
        <w:rPr>
          <w:rFonts w:hint="eastAsia" w:ascii="仿宋" w:hAnsi="仿宋" w:eastAsia="仿宋" w:cs="仿宋"/>
          <w:sz w:val="32"/>
          <w:szCs w:val="32"/>
          <w:highlight w:val="none"/>
          <w:lang w:eastAsia="zh-CN"/>
        </w:rPr>
        <w:t>资产管理</w:t>
      </w:r>
      <w:r>
        <w:rPr>
          <w:rFonts w:hint="eastAsia" w:ascii="仿宋" w:hAnsi="仿宋" w:eastAsia="仿宋" w:cs="仿宋"/>
          <w:sz w:val="32"/>
          <w:szCs w:val="32"/>
          <w:highlight w:val="none"/>
        </w:rPr>
        <w:t>有关规定及时办理资产登记</w:t>
      </w:r>
      <w:r>
        <w:rPr>
          <w:rFonts w:hint="eastAsia" w:ascii="仿宋" w:hAnsi="仿宋" w:eastAsia="仿宋" w:cs="仿宋"/>
          <w:sz w:val="32"/>
          <w:szCs w:val="32"/>
          <w:highlight w:val="none"/>
          <w:lang w:eastAsia="zh-CN"/>
        </w:rPr>
        <w:t>、划拨和</w:t>
      </w:r>
      <w:r>
        <w:rPr>
          <w:rFonts w:hint="eastAsia" w:ascii="仿宋" w:hAnsi="仿宋" w:eastAsia="仿宋" w:cs="仿宋"/>
          <w:sz w:val="32"/>
          <w:szCs w:val="32"/>
          <w:highlight w:val="none"/>
        </w:rPr>
        <w:t>信息入库</w:t>
      </w:r>
      <w:r>
        <w:rPr>
          <w:rFonts w:hint="eastAsia" w:ascii="仿宋" w:hAnsi="仿宋" w:eastAsia="仿宋" w:cs="仿宋"/>
          <w:sz w:val="32"/>
          <w:szCs w:val="32"/>
          <w:highlight w:val="none"/>
          <w:lang w:eastAsia="zh-CN"/>
        </w:rPr>
        <w:t>手续</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交通运输信息化建设项目</w:t>
      </w:r>
      <w:r>
        <w:rPr>
          <w:rFonts w:hint="eastAsia" w:ascii="仿宋" w:hAnsi="仿宋" w:eastAsia="仿宋" w:cs="仿宋"/>
          <w:sz w:val="32"/>
          <w:szCs w:val="32"/>
          <w:highlight w:val="none"/>
          <w:lang w:eastAsia="zh-CN"/>
        </w:rPr>
        <w:t>初步</w:t>
      </w:r>
      <w:r>
        <w:rPr>
          <w:rFonts w:hint="eastAsia" w:ascii="仿宋" w:hAnsi="仿宋" w:eastAsia="仿宋" w:cs="仿宋"/>
          <w:sz w:val="32"/>
          <w:szCs w:val="32"/>
          <w:highlight w:val="none"/>
        </w:rPr>
        <w:t>验收合格并投入运行</w:t>
      </w: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年后，由</w:t>
      </w:r>
      <w:r>
        <w:rPr>
          <w:rFonts w:hint="eastAsia" w:ascii="仿宋" w:hAnsi="仿宋" w:eastAsia="仿宋" w:cs="仿宋"/>
          <w:sz w:val="32"/>
          <w:szCs w:val="32"/>
          <w:highlight w:val="none"/>
          <w:lang w:val="en-US" w:eastAsia="zh-CN"/>
        </w:rPr>
        <w:t>交通运输厅</w:t>
      </w:r>
      <w:r>
        <w:rPr>
          <w:rFonts w:hint="eastAsia" w:ascii="仿宋" w:hAnsi="仿宋" w:eastAsia="仿宋" w:cs="仿宋"/>
          <w:sz w:val="32"/>
          <w:szCs w:val="32"/>
          <w:highlight w:val="none"/>
        </w:rPr>
        <w:t>组织对项目</w:t>
      </w:r>
      <w:r>
        <w:rPr>
          <w:rFonts w:hint="eastAsia" w:ascii="仿宋" w:hAnsi="仿宋" w:eastAsia="仿宋" w:cs="仿宋"/>
          <w:sz w:val="32"/>
          <w:szCs w:val="32"/>
          <w:highlight w:val="none"/>
          <w:lang w:eastAsia="zh-CN"/>
        </w:rPr>
        <w:t>运行情况及项目</w:t>
      </w:r>
      <w:r>
        <w:rPr>
          <w:rFonts w:hint="eastAsia" w:ascii="仿宋" w:hAnsi="仿宋" w:eastAsia="仿宋" w:cs="仿宋"/>
          <w:sz w:val="32"/>
          <w:szCs w:val="32"/>
          <w:highlight w:val="none"/>
        </w:rPr>
        <w:t>成果进行综合后评估，内容包括项目预期目标实现情况、</w:t>
      </w:r>
      <w:r>
        <w:rPr>
          <w:rFonts w:hint="eastAsia" w:ascii="仿宋" w:hAnsi="仿宋" w:eastAsia="仿宋" w:cs="仿宋"/>
          <w:sz w:val="32"/>
          <w:szCs w:val="32"/>
          <w:highlight w:val="none"/>
          <w:lang w:eastAsia="zh-CN"/>
        </w:rPr>
        <w:t>数据质量情况</w:t>
      </w:r>
      <w:r>
        <w:rPr>
          <w:rFonts w:hint="eastAsia" w:ascii="仿宋" w:hAnsi="仿宋" w:eastAsia="仿宋" w:cs="仿宋"/>
          <w:sz w:val="32"/>
          <w:szCs w:val="32"/>
          <w:highlight w:val="none"/>
        </w:rPr>
        <w:t>、投资效益、作用和影响、存在的主要问题等。后评估结果</w:t>
      </w:r>
      <w:r>
        <w:rPr>
          <w:rFonts w:hint="eastAsia" w:ascii="仿宋" w:hAnsi="仿宋" w:eastAsia="仿宋" w:cs="仿宋"/>
          <w:sz w:val="32"/>
          <w:szCs w:val="32"/>
          <w:highlight w:val="none"/>
          <w:lang w:eastAsia="zh-CN"/>
        </w:rPr>
        <w:t>将</w:t>
      </w:r>
      <w:r>
        <w:rPr>
          <w:rFonts w:hint="eastAsia" w:ascii="仿宋" w:hAnsi="仿宋" w:eastAsia="仿宋" w:cs="仿宋"/>
          <w:sz w:val="32"/>
          <w:szCs w:val="32"/>
          <w:highlight w:val="none"/>
        </w:rPr>
        <w:t>作为后续信息化项目立项</w:t>
      </w:r>
      <w:r>
        <w:rPr>
          <w:rFonts w:hint="eastAsia" w:ascii="仿宋" w:hAnsi="仿宋" w:eastAsia="仿宋" w:cs="仿宋"/>
          <w:sz w:val="32"/>
          <w:szCs w:val="32"/>
          <w:highlight w:val="none"/>
          <w:lang w:eastAsia="zh-CN"/>
        </w:rPr>
        <w:t>和相关参建单位信用评价</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eastAsia="zh-CN"/>
        </w:rPr>
        <w:t>主要指标</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eastAsia="zh-CN"/>
        </w:rPr>
        <w:t>交通运输信息化建设项目实行质量保修制度，项目的施工、集成单位应当对项目承担保修责任，项目建设单位应当在合同中明确约定缺陷责任期和保修内容，缺陷责任期为项目竣工验收后</w:t>
      </w:r>
      <w:r>
        <w:rPr>
          <w:rFonts w:hint="eastAsia" w:ascii="仿宋" w:hAnsi="仿宋" w:eastAsia="仿宋" w:cs="仿宋"/>
          <w:sz w:val="32"/>
          <w:szCs w:val="32"/>
          <w:highlight w:val="none"/>
          <w:lang w:val="en-US" w:eastAsia="zh-CN"/>
        </w:rPr>
        <w:t>2年</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60" w:lineRule="exact"/>
        <w:ind w:left="0" w:leftChars="0" w:right="0" w:rightChars="0" w:firstLine="0" w:firstLineChars="0"/>
        <w:jc w:val="center"/>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lang w:eastAsia="zh-CN"/>
        </w:rPr>
        <w:t>第七章</w:t>
      </w:r>
      <w:r>
        <w:rPr>
          <w:rFonts w:hint="eastAsia" w:ascii="黑体" w:hAnsi="黑体" w:eastAsia="黑体" w:cs="黑体"/>
          <w:sz w:val="32"/>
          <w:szCs w:val="32"/>
          <w:highlight w:val="none"/>
          <w:lang w:val="en-US" w:eastAsia="zh-CN"/>
        </w:rPr>
        <w:t xml:space="preserve"> 系统</w:t>
      </w:r>
      <w:r>
        <w:rPr>
          <w:rFonts w:hint="eastAsia" w:ascii="黑体" w:hAnsi="黑体" w:eastAsia="黑体" w:cs="黑体"/>
          <w:sz w:val="32"/>
          <w:szCs w:val="32"/>
          <w:highlight w:val="none"/>
        </w:rPr>
        <w:t>运行维护</w:t>
      </w:r>
      <w:r>
        <w:rPr>
          <w:rFonts w:hint="eastAsia" w:ascii="黑体" w:hAnsi="黑体" w:eastAsia="黑体" w:cs="黑体"/>
          <w:sz w:val="32"/>
          <w:szCs w:val="32"/>
          <w:highlight w:val="none"/>
          <w:lang w:eastAsia="zh-CN"/>
        </w:rPr>
        <w:t>及使用</w:t>
      </w:r>
      <w:r>
        <w:rPr>
          <w:rFonts w:hint="eastAsia" w:ascii="黑体" w:hAnsi="黑体" w:eastAsia="黑体" w:cs="黑体"/>
          <w:sz w:val="32"/>
          <w:szCs w:val="32"/>
          <w:highlight w:val="none"/>
        </w:rPr>
        <w:t>管理</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lang w:eastAsia="zh-CN"/>
        </w:rPr>
        <w:t>第三十五条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交通运输厅</w:t>
      </w:r>
      <w:r>
        <w:rPr>
          <w:rFonts w:hint="eastAsia" w:ascii="仿宋" w:hAnsi="仿宋" w:eastAsia="仿宋" w:cs="仿宋"/>
          <w:sz w:val="32"/>
          <w:szCs w:val="32"/>
          <w:highlight w:val="none"/>
        </w:rPr>
        <w:t>负责对</w:t>
      </w:r>
      <w:r>
        <w:rPr>
          <w:rFonts w:hint="eastAsia" w:ascii="仿宋" w:hAnsi="仿宋" w:eastAsia="仿宋" w:cs="仿宋"/>
          <w:sz w:val="32"/>
          <w:szCs w:val="32"/>
          <w:highlight w:val="none"/>
          <w:lang w:eastAsia="zh-CN"/>
        </w:rPr>
        <w:t>信息系统</w:t>
      </w:r>
      <w:r>
        <w:rPr>
          <w:rFonts w:hint="eastAsia" w:ascii="仿宋" w:hAnsi="仿宋" w:eastAsia="仿宋" w:cs="仿宋"/>
          <w:sz w:val="32"/>
          <w:szCs w:val="32"/>
          <w:highlight w:val="none"/>
        </w:rPr>
        <w:t>日常</w:t>
      </w:r>
      <w:r>
        <w:rPr>
          <w:rFonts w:hint="eastAsia" w:ascii="仿宋" w:hAnsi="仿宋" w:eastAsia="仿宋" w:cs="仿宋"/>
          <w:sz w:val="32"/>
          <w:szCs w:val="32"/>
          <w:highlight w:val="none"/>
          <w:lang w:eastAsia="zh-CN"/>
        </w:rPr>
        <w:t>运行维护和使用</w:t>
      </w:r>
      <w:r>
        <w:rPr>
          <w:rFonts w:hint="eastAsia" w:ascii="仿宋" w:hAnsi="仿宋" w:eastAsia="仿宋" w:cs="仿宋"/>
          <w:sz w:val="32"/>
          <w:szCs w:val="32"/>
          <w:highlight w:val="none"/>
        </w:rPr>
        <w:t>管理进行指导</w:t>
      </w:r>
      <w:r>
        <w:rPr>
          <w:rFonts w:hint="eastAsia" w:ascii="仿宋" w:hAnsi="仿宋" w:eastAsia="仿宋" w:cs="仿宋"/>
          <w:sz w:val="32"/>
          <w:szCs w:val="32"/>
          <w:highlight w:val="none"/>
          <w:lang w:eastAsia="zh-CN"/>
        </w:rPr>
        <w:t>和监管</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eastAsia="zh-CN"/>
        </w:rPr>
        <w:t>宁夏</w:t>
      </w:r>
      <w:r>
        <w:rPr>
          <w:rFonts w:hint="eastAsia" w:ascii="仿宋" w:hAnsi="仿宋" w:eastAsia="仿宋" w:cs="仿宋"/>
          <w:sz w:val="32"/>
          <w:szCs w:val="32"/>
          <w:highlight w:val="none"/>
        </w:rPr>
        <w:t>交通信息</w:t>
      </w:r>
      <w:r>
        <w:rPr>
          <w:rFonts w:hint="eastAsia" w:ascii="仿宋" w:hAnsi="仿宋" w:eastAsia="仿宋" w:cs="仿宋"/>
          <w:sz w:val="32"/>
          <w:szCs w:val="32"/>
          <w:highlight w:val="none"/>
          <w:lang w:eastAsia="zh-CN"/>
        </w:rPr>
        <w:t>监控</w:t>
      </w:r>
      <w:r>
        <w:rPr>
          <w:rFonts w:hint="eastAsia" w:ascii="仿宋" w:hAnsi="仿宋" w:eastAsia="仿宋" w:cs="仿宋"/>
          <w:sz w:val="32"/>
          <w:szCs w:val="32"/>
          <w:highlight w:val="none"/>
        </w:rPr>
        <w:t>中心</w:t>
      </w:r>
      <w:r>
        <w:rPr>
          <w:rFonts w:hint="eastAsia" w:ascii="仿宋" w:hAnsi="仿宋" w:eastAsia="仿宋" w:cs="仿宋"/>
          <w:sz w:val="32"/>
          <w:szCs w:val="32"/>
          <w:highlight w:val="none"/>
          <w:lang w:eastAsia="zh-CN"/>
        </w:rPr>
        <w:t>（宁夏监测与应急处置中心）</w:t>
      </w:r>
      <w:r>
        <w:rPr>
          <w:rFonts w:hint="eastAsia" w:ascii="仿宋" w:hAnsi="仿宋" w:eastAsia="仿宋" w:cs="仿宋"/>
          <w:sz w:val="32"/>
          <w:szCs w:val="32"/>
          <w:highlight w:val="none"/>
        </w:rPr>
        <w:t>负责</w:t>
      </w:r>
      <w:r>
        <w:rPr>
          <w:rFonts w:hint="eastAsia" w:ascii="仿宋" w:hAnsi="仿宋" w:eastAsia="仿宋" w:cs="仿宋"/>
          <w:sz w:val="32"/>
          <w:szCs w:val="32"/>
          <w:highlight w:val="none"/>
          <w:lang w:eastAsia="zh-CN"/>
        </w:rPr>
        <w:t>厅本级及厅属单位信息</w:t>
      </w:r>
      <w:r>
        <w:rPr>
          <w:rFonts w:hint="eastAsia" w:ascii="仿宋" w:hAnsi="仿宋" w:eastAsia="仿宋" w:cs="仿宋"/>
          <w:sz w:val="32"/>
          <w:szCs w:val="32"/>
          <w:highlight w:val="none"/>
        </w:rPr>
        <w:t>系统的运维</w:t>
      </w:r>
      <w:r>
        <w:rPr>
          <w:rFonts w:hint="eastAsia" w:ascii="仿宋" w:hAnsi="仿宋" w:eastAsia="仿宋" w:cs="仿宋"/>
          <w:sz w:val="32"/>
          <w:szCs w:val="32"/>
          <w:highlight w:val="none"/>
          <w:lang w:eastAsia="zh-CN"/>
        </w:rPr>
        <w:t>管理，包括系统运行平台维护、系统软件升级、数据安全及日常维护管理等，结合各系统实际，</w:t>
      </w:r>
      <w:r>
        <w:rPr>
          <w:rFonts w:hint="eastAsia" w:ascii="仿宋" w:hAnsi="仿宋" w:eastAsia="仿宋" w:cs="仿宋"/>
          <w:sz w:val="32"/>
          <w:szCs w:val="32"/>
          <w:highlight w:val="none"/>
        </w:rPr>
        <w:t>制定应急预警方案，</w:t>
      </w:r>
      <w:r>
        <w:rPr>
          <w:rFonts w:hint="eastAsia" w:ascii="仿宋" w:hAnsi="仿宋" w:eastAsia="仿宋" w:cs="仿宋"/>
          <w:sz w:val="32"/>
          <w:szCs w:val="32"/>
          <w:highlight w:val="none"/>
          <w:lang w:eastAsia="zh-CN"/>
        </w:rPr>
        <w:t>组织技术力量定期开展检测监测，及时堵塞漏洞隐患，</w:t>
      </w:r>
      <w:r>
        <w:rPr>
          <w:rFonts w:hint="eastAsia" w:ascii="仿宋" w:hAnsi="仿宋" w:eastAsia="仿宋" w:cs="仿宋"/>
          <w:sz w:val="32"/>
          <w:szCs w:val="32"/>
          <w:highlight w:val="none"/>
        </w:rPr>
        <w:t>确保应用系统安全稳定运行。</w:t>
      </w:r>
      <w:r>
        <w:rPr>
          <w:rFonts w:hint="eastAsia" w:ascii="仿宋" w:hAnsi="仿宋" w:eastAsia="仿宋" w:cs="仿宋"/>
          <w:sz w:val="32"/>
          <w:szCs w:val="32"/>
          <w:highlight w:val="none"/>
          <w:lang w:eastAsia="zh-CN"/>
        </w:rPr>
        <w:t>信息系统使用单位、处室应</w:t>
      </w:r>
      <w:r>
        <w:rPr>
          <w:rFonts w:hint="eastAsia" w:ascii="仿宋" w:hAnsi="仿宋" w:eastAsia="仿宋" w:cs="仿宋"/>
          <w:sz w:val="32"/>
          <w:szCs w:val="32"/>
          <w:highlight w:val="none"/>
        </w:rPr>
        <w:t>细化</w:t>
      </w:r>
      <w:r>
        <w:rPr>
          <w:rFonts w:hint="eastAsia" w:ascii="仿宋" w:hAnsi="仿宋" w:eastAsia="仿宋" w:cs="仿宋"/>
          <w:sz w:val="32"/>
          <w:szCs w:val="32"/>
          <w:highlight w:val="none"/>
          <w:lang w:eastAsia="zh-CN"/>
        </w:rPr>
        <w:t>系统使用</w:t>
      </w:r>
      <w:r>
        <w:rPr>
          <w:rFonts w:hint="eastAsia" w:ascii="仿宋" w:hAnsi="仿宋" w:eastAsia="仿宋" w:cs="仿宋"/>
          <w:sz w:val="32"/>
          <w:szCs w:val="32"/>
          <w:highlight w:val="none"/>
        </w:rPr>
        <w:t>管理</w:t>
      </w:r>
      <w:r>
        <w:rPr>
          <w:rFonts w:hint="eastAsia" w:ascii="仿宋" w:hAnsi="仿宋" w:eastAsia="仿宋" w:cs="仿宋"/>
          <w:sz w:val="32"/>
          <w:szCs w:val="32"/>
          <w:highlight w:val="none"/>
          <w:lang w:eastAsia="zh-CN"/>
        </w:rPr>
        <w:t>措施</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严格落实专人负责要求，确保系统操作使用规范有序、数据完整准确。</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要高度重视信息系统运行维护管理，在项目立项设计时应同步制定缺陷责任期满后</w:t>
      </w:r>
      <w:r>
        <w:rPr>
          <w:rFonts w:hint="eastAsia" w:ascii="仿宋" w:hAnsi="仿宋" w:eastAsia="仿宋" w:cs="仿宋"/>
          <w:sz w:val="32"/>
          <w:szCs w:val="32"/>
          <w:highlight w:val="none"/>
          <w:lang w:val="en-US" w:eastAsia="zh-CN"/>
        </w:rPr>
        <w:t>5年的</w:t>
      </w:r>
      <w:r>
        <w:rPr>
          <w:rFonts w:hint="eastAsia" w:ascii="仿宋" w:hAnsi="仿宋" w:eastAsia="仿宋" w:cs="仿宋"/>
          <w:sz w:val="32"/>
          <w:szCs w:val="32"/>
          <w:highlight w:val="none"/>
          <w:lang w:eastAsia="zh-CN"/>
        </w:rPr>
        <w:t>运维规划方案并明确运维费用，在招标文件中明确运维相关条款，在合同签订时对系统运维事宜进行约定。</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eastAsia="zh-CN"/>
        </w:rPr>
        <w:t>信息系统运行维护经费实行年度预算管理，项目缺陷责任期不安排运维费用，年度运维费用经</w:t>
      </w:r>
      <w:r>
        <w:rPr>
          <w:rFonts w:hint="eastAsia" w:ascii="仿宋" w:hAnsi="仿宋" w:eastAsia="仿宋" w:cs="仿宋"/>
          <w:sz w:val="32"/>
          <w:szCs w:val="32"/>
          <w:highlight w:val="none"/>
          <w:lang w:val="en-US" w:eastAsia="zh-CN"/>
        </w:rPr>
        <w:t>交通运输厅</w:t>
      </w:r>
      <w:r>
        <w:rPr>
          <w:rFonts w:hint="eastAsia" w:ascii="仿宋" w:hAnsi="仿宋" w:eastAsia="仿宋" w:cs="仿宋"/>
          <w:sz w:val="32"/>
          <w:szCs w:val="32"/>
          <w:highlight w:val="none"/>
          <w:lang w:eastAsia="zh-CN"/>
        </w:rPr>
        <w:t>审核后，列入年度预算。</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信息系统使用单位应及时向交通运输厅反馈</w:t>
      </w:r>
      <w:r>
        <w:rPr>
          <w:rFonts w:hint="eastAsia" w:ascii="仿宋" w:hAnsi="仿宋" w:eastAsia="仿宋" w:cs="仿宋"/>
          <w:sz w:val="32"/>
          <w:szCs w:val="32"/>
          <w:highlight w:val="none"/>
        </w:rPr>
        <w:t>项目预期目标实现情况</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rPr>
        <w:t>存在的主要问题</w:t>
      </w:r>
      <w:r>
        <w:rPr>
          <w:rFonts w:hint="eastAsia" w:ascii="仿宋" w:hAnsi="仿宋" w:eastAsia="仿宋" w:cs="仿宋"/>
          <w:sz w:val="32"/>
          <w:szCs w:val="32"/>
          <w:highlight w:val="none"/>
          <w:lang w:eastAsia="zh-CN"/>
        </w:rPr>
        <w:t>等，并提出系统优化意见建议。</w:t>
      </w:r>
      <w:r>
        <w:rPr>
          <w:rFonts w:hint="eastAsia" w:ascii="仿宋" w:hAnsi="仿宋" w:eastAsia="仿宋" w:cs="仿宋"/>
          <w:sz w:val="32"/>
          <w:szCs w:val="32"/>
          <w:highlight w:val="none"/>
          <w:lang w:val="en-US" w:eastAsia="zh-CN"/>
        </w:rPr>
        <w:t>宁夏信息监控中心</w:t>
      </w:r>
      <w:r>
        <w:rPr>
          <w:rFonts w:hint="eastAsia" w:ascii="仿宋" w:hAnsi="仿宋" w:eastAsia="仿宋" w:cs="仿宋"/>
          <w:sz w:val="32"/>
          <w:szCs w:val="32"/>
          <w:highlight w:val="none"/>
          <w:lang w:eastAsia="zh-CN"/>
        </w:rPr>
        <w:t>（宁夏监测与应急处置中心）</w:t>
      </w:r>
      <w:r>
        <w:rPr>
          <w:rFonts w:hint="eastAsia" w:ascii="仿宋" w:hAnsi="仿宋" w:eastAsia="仿宋" w:cs="仿宋"/>
          <w:sz w:val="32"/>
          <w:szCs w:val="32"/>
          <w:highlight w:val="none"/>
          <w:lang w:val="en-US" w:eastAsia="zh-CN"/>
        </w:rPr>
        <w:t>应加强与信息系统使用单位的沟通联系，及时掌握系统使用情况，优化系统结构资源配置。</w:t>
      </w:r>
    </w:p>
    <w:p>
      <w:pPr>
        <w:keepNext w:val="0"/>
        <w:keepLines w:val="0"/>
        <w:pageBreakBefore w:val="0"/>
        <w:widowControl w:val="0"/>
        <w:kinsoku/>
        <w:wordWrap/>
        <w:overflowPunct/>
        <w:topLinePunct w:val="0"/>
        <w:autoSpaceDE/>
        <w:autoSpaceDN/>
        <w:bidi w:val="0"/>
        <w:adjustRightInd/>
        <w:snapToGrid/>
        <w:spacing w:before="157" w:beforeLines="50" w:after="157" w:afterLines="50" w:line="66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附则</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十条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违反本办法相关条款规定的，依照有关法律、法规、规章予以处理、处罚。</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本办法由</w:t>
      </w:r>
      <w:r>
        <w:rPr>
          <w:rFonts w:hint="eastAsia" w:ascii="仿宋" w:hAnsi="仿宋" w:eastAsia="仿宋" w:cs="仿宋"/>
          <w:sz w:val="32"/>
          <w:szCs w:val="32"/>
          <w:highlight w:val="none"/>
          <w:lang w:eastAsia="zh-CN"/>
        </w:rPr>
        <w:t>宁夏回族自治区</w:t>
      </w:r>
      <w:r>
        <w:rPr>
          <w:rFonts w:hint="eastAsia" w:ascii="仿宋" w:hAnsi="仿宋" w:eastAsia="仿宋" w:cs="仿宋"/>
          <w:sz w:val="32"/>
          <w:szCs w:val="32"/>
          <w:highlight w:val="none"/>
        </w:rPr>
        <w:t>交通运输厅负责解释。</w:t>
      </w:r>
    </w:p>
    <w:p>
      <w:pPr>
        <w:keepNext w:val="0"/>
        <w:keepLines w:val="0"/>
        <w:pageBreakBefore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本办法自</w:t>
      </w:r>
      <w:r>
        <w:rPr>
          <w:rFonts w:hint="eastAsia" w:ascii="仿宋" w:hAnsi="仿宋" w:eastAsia="仿宋" w:cs="仿宋"/>
          <w:sz w:val="32"/>
          <w:szCs w:val="32"/>
          <w:highlight w:val="none"/>
          <w:lang w:eastAsia="zh-CN"/>
        </w:rPr>
        <w:t>印发之</w:t>
      </w:r>
      <w:r>
        <w:rPr>
          <w:rFonts w:hint="eastAsia" w:ascii="仿宋" w:hAnsi="仿宋" w:eastAsia="仿宋" w:cs="仿宋"/>
          <w:sz w:val="32"/>
          <w:szCs w:val="32"/>
          <w:highlight w:val="none"/>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µÈÏß Western">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隶书_GBK">
    <w:altName w:val="隶书"/>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方正硬笔行书简体">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毡笔黑简体">
    <w:altName w:val="黑体"/>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方正大标宋简体">
    <w:altName w:val="微软雅黑"/>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Nirmala UI">
    <w:panose1 w:val="020B0502040204020203"/>
    <w:charset w:val="00"/>
    <w:family w:val="auto"/>
    <w:pitch w:val="default"/>
    <w:sig w:usb0="80FF8023" w:usb1="0000004A" w:usb2="00000200" w:usb3="00000000" w:csb0="00000001" w:csb1="00000000"/>
  </w:font>
  <w:font w:name="Vrinda">
    <w:panose1 w:val="020B0502040204020203"/>
    <w:charset w:val="00"/>
    <w:family w:val="auto"/>
    <w:pitch w:val="default"/>
    <w:sig w:usb0="00010003" w:usb1="00000000" w:usb2="00000000" w:usb3="00000000" w:csb0="00000001" w:csb1="00000000"/>
  </w:font>
  <w:font w:name="楷体">
    <w:panose1 w:val="02010609060101010101"/>
    <w:charset w:val="7A"/>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报宋简体">
    <w:altName w:val="微软雅黑"/>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Verdana">
    <w:panose1 w:val="020B0604030504040204"/>
    <w:charset w:val="00"/>
    <w:family w:val="swiss"/>
    <w:pitch w:val="default"/>
    <w:sig w:usb0="A10006FF" w:usb1="4000205B" w:usb2="00000010" w:usb3="00000000" w:csb0="2000019F" w:csb1="00000000"/>
  </w:font>
  <w:font w:name="Microsoft Sans Serif">
    <w:panose1 w:val="020B0604020202020204"/>
    <w:charset w:val="00"/>
    <w:family w:val="auto"/>
    <w:pitch w:val="default"/>
    <w:sig w:usb0="E1002AFF" w:usb1="C0000002" w:usb2="00000008"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Lucida Console">
    <w:panose1 w:val="020B0609040504020204"/>
    <w:charset w:val="00"/>
    <w:family w:val="swiss"/>
    <w:pitch w:val="default"/>
    <w:sig w:usb0="8000028F" w:usb1="00001800" w:usb2="00000000" w:usb3="00000000" w:csb0="0000001F" w:csb1="D7D70000"/>
  </w:font>
  <w:font w:name="Arial Unicode MS">
    <w:altName w:val="宋体"/>
    <w:panose1 w:val="020B0604020202020204"/>
    <w:charset w:val="86"/>
    <w:family w:val="auto"/>
    <w:pitch w:val="default"/>
    <w:sig w:usb0="00000000" w:usb1="00000000" w:usb2="0000003F" w:usb3="00000000" w:csb0="603F01FF" w:csb1="FFFF0000"/>
  </w:font>
  <w:font w:name="MS Mincho">
    <w:panose1 w:val="02020609040205080304"/>
    <w:charset w:val="80"/>
    <w:family w:val="swiss"/>
    <w:pitch w:val="default"/>
    <w:sig w:usb0="E00002FF" w:usb1="6AC7FDFB" w:usb2="00000012" w:usb3="00000000" w:csb0="4002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DFKai-SB">
    <w:panose1 w:val="03000509000000000000"/>
    <w:charset w:val="88"/>
    <w:family w:val="auto"/>
    <w:pitch w:val="default"/>
    <w:sig w:usb0="00000003" w:usb1="082E0000" w:usb2="00000016" w:usb3="00000000" w:csb0="00100001" w:csb1="00000000"/>
  </w:font>
  <w:font w:name="GungsuhChe">
    <w:panose1 w:val="0203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ucida Sans Unicode">
    <w:panose1 w:val="020B0602030504020204"/>
    <w:charset w:val="00"/>
    <w:family w:val="decorative"/>
    <w:pitch w:val="default"/>
    <w:sig w:usb0="80001AFF" w:usb1="0000396B" w:usb2="00000000" w:usb3="00000000" w:csb0="200000BF" w:csb1="D7F70000"/>
  </w:font>
  <w:font w:name="Helvetica">
    <w:altName w:val="Arial"/>
    <w:panose1 w:val="020B0504020202020204"/>
    <w:charset w:val="00"/>
    <w:family w:val="decorative"/>
    <w:pitch w:val="default"/>
    <w:sig w:usb0="00000000" w:usb1="00000000" w:usb2="00000000" w:usb3="00000000" w:csb0="00000001" w:csb1="00000000"/>
  </w:font>
  <w:font w:name="榛戜綋">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Calibri">
    <w:panose1 w:val="020F0502020204030204"/>
    <w:charset w:val="CC"/>
    <w:family w:val="decorative"/>
    <w:pitch w:val="default"/>
    <w:sig w:usb0="E00002FF" w:usb1="4000ACFF" w:usb2="00000001" w:usb3="00000000" w:csb0="2000019F" w:csb1="00000000"/>
  </w:font>
  <w:font w:name="Arial">
    <w:panose1 w:val="020B0604020202020204"/>
    <w:charset w:val="CC"/>
    <w:family w:val="decorative"/>
    <w:pitch w:val="default"/>
    <w:sig w:usb0="E0002AFF" w:usb1="C0007843" w:usb2="00000009" w:usb3="00000000" w:csb0="400001FF" w:csb1="FFFF0000"/>
  </w:font>
  <w:font w:name="AFTSPD+FZXBSJW--GB1-0">
    <w:altName w:val="宋体"/>
    <w:panose1 w:val="03000509000000000000"/>
    <w:charset w:val="86"/>
    <w:family w:val="swiss"/>
    <w:pitch w:val="default"/>
    <w:sig w:usb0="00000000" w:usb1="00000000" w:usb2="00000000" w:usb3="00000000" w:csb0="00040001" w:csb1="00000000"/>
  </w:font>
  <w:font w:name="AQTGDU+FangSong_GB2312">
    <w:altName w:val="宋体"/>
    <w:panose1 w:val="02010609030101010101"/>
    <w:charset w:val="86"/>
    <w:family w:val="swiss"/>
    <w:pitch w:val="default"/>
    <w:sig w:usb0="00000000" w:usb1="00000000" w:usb2="00000000" w:usb3="00000000" w:csb0="00040001" w:csb1="00000000"/>
  </w:font>
  <w:font w:name="OVNMGU+FZFSK--GBK1-0">
    <w:altName w:val="宋体"/>
    <w:panose1 w:val="03000509000000000000"/>
    <w:charset w:val="86"/>
    <w:family w:val="swiss"/>
    <w:pitch w:val="default"/>
    <w:sig w:usb0="00000000" w:usb1="00000000" w:usb2="00000000" w:usb3="00000000" w:csb0="00040001" w:csb1="00000000"/>
  </w:font>
  <w:font w:name="RQJGEE+FZHTJW--GB1-0">
    <w:altName w:val="宋体"/>
    <w:panose1 w:val="03000509000000000000"/>
    <w:charset w:val="86"/>
    <w:family w:val="swiss"/>
    <w:pitch w:val="default"/>
    <w:sig w:usb0="00000000" w:usb1="00000000" w:usb2="00000000" w:usb3="00000000" w:csb0="00040001" w:csb1="00000000"/>
  </w:font>
  <w:font w:name="DLARBO+FZKTJW--GB1-0">
    <w:altName w:val="宋体"/>
    <w:panose1 w:val="03000509000000000000"/>
    <w:charset w:val="86"/>
    <w:family w:val="swiss"/>
    <w:pitch w:val="default"/>
    <w:sig w:usb0="00000000" w:usb1="00000000" w:usb2="00000000" w:usb3="00000000" w:csb0="00040001" w:csb1="00000000"/>
  </w:font>
  <w:font w:name="JEMIWM+FangSong_GB2312">
    <w:altName w:val="微软雅黑"/>
    <w:panose1 w:val="02000500000000000000"/>
    <w:charset w:val="01"/>
    <w:family w:val="auto"/>
    <w:pitch w:val="default"/>
    <w:sig w:usb0="00000000" w:usb1="00000000" w:usb2="00000000" w:usb3="00000000" w:csb0="00040001" w:csb1="00000000"/>
  </w:font>
  <w:font w:name="JSNKFS+TimesNewRomanPSMT">
    <w:altName w:val="微软雅黑"/>
    <w:panose1 w:val="02000500000000000000"/>
    <w:charset w:val="01"/>
    <w:family w:val="auto"/>
    <w:pitch w:val="default"/>
    <w:sig w:usb0="00000000" w:usb1="00000000" w:usb2="00000000" w:usb3="00000000" w:csb0="00040001" w:csb1="00000000"/>
  </w:font>
  <w:font w:name="幼圆">
    <w:panose1 w:val="02010509060101010101"/>
    <w:charset w:val="86"/>
    <w:family w:val="auto"/>
    <w:pitch w:val="default"/>
    <w:sig w:usb0="00000001" w:usb1="080E0000" w:usb2="00000000" w:usb3="00000000" w:csb0="00040000" w:csb1="00000000"/>
  </w:font>
  <w:font w:name="EJAHJN+FangSong_GB2312">
    <w:altName w:val="微软雅黑"/>
    <w:panose1 w:val="02000500000000000000"/>
    <w:charset w:val="01"/>
    <w:family w:val="auto"/>
    <w:pitch w:val="default"/>
    <w:sig w:usb0="00000000" w:usb1="00000000" w:usb2="00000000" w:usb3="00000000" w:csb0="00040001" w:csb1="00000000"/>
  </w:font>
  <w:font w:name="DOIDWN+TimesNewRomanPSMT">
    <w:altName w:val="微软雅黑"/>
    <w:panose1 w:val="02000500000000000000"/>
    <w:charset w:val="01"/>
    <w:family w:val="auto"/>
    <w:pitch w:val="default"/>
    <w:sig w:usb0="00000000" w:usb1="00000000" w:usb2="00000000" w:usb3="00000000" w:csb0="00040001" w:csb1="00000000"/>
  </w:font>
  <w:font w:name="AQKPKU+TimesNewRomanPSMT">
    <w:altName w:val="微软雅黑"/>
    <w:panose1 w:val="02000500000000000000"/>
    <w:charset w:val="01"/>
    <w:family w:val="auto"/>
    <w:pitch w:val="default"/>
    <w:sig w:usb0="00000000" w:usb1="00000000" w:usb2="00000000" w:usb3="00000000" w:csb0="00040001" w:csb1="00000000"/>
  </w:font>
  <w:font w:name="LVAUUO+FangSong_GB2312">
    <w:altName w:val="微软雅黑"/>
    <w:panose1 w:val="02000500000000000000"/>
    <w:charset w:val="01"/>
    <w:family w:val="auto"/>
    <w:pitch w:val="default"/>
    <w:sig w:usb0="00000000" w:usb1="00000000" w:usb2="00000000" w:usb3="00000000" w:csb0="00040001" w:csb1="00000000"/>
  </w:font>
  <w:font w:name="SSIIRW+FZXBSJW--GB1-0">
    <w:altName w:val="宋体"/>
    <w:panose1 w:val="03000509000000000000"/>
    <w:charset w:val="86"/>
    <w:family w:val="swiss"/>
    <w:pitch w:val="default"/>
    <w:sig w:usb0="00000000" w:usb1="00000000" w:usb2="00000000" w:usb3="00000000" w:csb0="00040001" w:csb1="00000000"/>
  </w:font>
  <w:font w:name="PHMJII+FangSong_GB2312">
    <w:altName w:val="宋体"/>
    <w:panose1 w:val="02010609030101010101"/>
    <w:charset w:val="86"/>
    <w:family w:val="swiss"/>
    <w:pitch w:val="default"/>
    <w:sig w:usb0="00000000" w:usb1="00000000" w:usb2="00000000" w:usb3="00000000" w:csb0="00040001" w:csb1="00000000"/>
  </w:font>
  <w:font w:name="WGPBFV+FZFSK--GBK1-0">
    <w:altName w:val="宋体"/>
    <w:panose1 w:val="03000509000000000000"/>
    <w:charset w:val="86"/>
    <w:family w:val="swiss"/>
    <w:pitch w:val="default"/>
    <w:sig w:usb0="00000000" w:usb1="00000000" w:usb2="00000000" w:usb3="00000000" w:csb0="00040001" w:csb1="00000000"/>
  </w:font>
  <w:font w:name="OJQQJL+FZHTJW--GB1-0">
    <w:altName w:val="宋体"/>
    <w:panose1 w:val="03000509000000000000"/>
    <w:charset w:val="86"/>
    <w:family w:val="swiss"/>
    <w:pitch w:val="default"/>
    <w:sig w:usb0="00000000" w:usb1="00000000" w:usb2="00000000" w:usb3="00000000" w:csb0="00040001" w:csb1="00000000"/>
  </w:font>
  <w:font w:name="DRTQND+FZKTJW--GB1-0">
    <w:altName w:val="宋体"/>
    <w:panose1 w:val="03000509000000000000"/>
    <w:charset w:val="86"/>
    <w:family w:val="swiss"/>
    <w:pitch w:val="default"/>
    <w:sig w:usb0="00000000" w:usb1="00000000" w:usb2="00000000" w:usb3="00000000" w:csb0="00040001" w:csb1="00000000"/>
  </w:font>
  <w:font w:name="̥_GB2312">
    <w:altName w:val="Times New Roman"/>
    <w:panose1 w:val="00000000000000000000"/>
    <w:charset w:val="00"/>
    <w:family w:val="modern"/>
    <w:pitch w:val="default"/>
    <w:sig w:usb0="00000000" w:usb1="00000000" w:usb2="00000000" w:usb3="00000000" w:csb0="00040001" w:csb1="00000000"/>
  </w:font>
  <w:font w:name="”“Times New Roman”“">
    <w:altName w:val="宋体"/>
    <w:panose1 w:val="00000000000000000000"/>
    <w:charset w:val="86"/>
    <w:family w:val="modern"/>
    <w:pitch w:val="default"/>
    <w:sig w:usb0="00000000" w:usb1="00000000" w:usb2="00000010" w:usb3="00000000" w:csb0="00040000" w:csb1="00000000"/>
  </w:font>
  <w:font w:name="Οgb2312">
    <w:altName w:val="宋体"/>
    <w:panose1 w:val="00000000000000000000"/>
    <w:charset w:val="86"/>
    <w:family w:val="modern"/>
    <w:pitch w:val="default"/>
    <w:sig w:usb0="00000000" w:usb1="00000000" w:usb2="00000010" w:usb3="00000000" w:csb0="00040000" w:csb1="00000000"/>
  </w:font>
  <w:font w:name="UMOVRO+FZXBSJW--GB1-0">
    <w:altName w:val="宋体"/>
    <w:panose1 w:val="03000509000000000000"/>
    <w:charset w:val="86"/>
    <w:family w:val="swiss"/>
    <w:pitch w:val="default"/>
    <w:sig w:usb0="00000000" w:usb1="00000000" w:usb2="00000000" w:usb3="00000000" w:csb0="00040001" w:csb1="00000000"/>
  </w:font>
  <w:font w:name="PVVGUU+FangSong_GB2312">
    <w:altName w:val="宋体"/>
    <w:panose1 w:val="02010609030101010101"/>
    <w:charset w:val="86"/>
    <w:family w:val="swiss"/>
    <w:pitch w:val="default"/>
    <w:sig w:usb0="00000000" w:usb1="00000000" w:usb2="00000000" w:usb3="00000000" w:csb0="00040001" w:csb1="00000000"/>
  </w:font>
  <w:font w:name="WQVGLH+FZFSK--GBK1-0">
    <w:altName w:val="宋体"/>
    <w:panose1 w:val="03000509000000000000"/>
    <w:charset w:val="86"/>
    <w:family w:val="swiss"/>
    <w:pitch w:val="default"/>
    <w:sig w:usb0="00000000" w:usb1="00000000" w:usb2="00000000" w:usb3="00000000" w:csb0="00040001" w:csb1="00000000"/>
  </w:font>
  <w:font w:name="SLELCG+FZHTJW--GB1-0">
    <w:altName w:val="宋体"/>
    <w:panose1 w:val="03000509000000000000"/>
    <w:charset w:val="86"/>
    <w:family w:val="swiss"/>
    <w:pitch w:val="default"/>
    <w:sig w:usb0="00000000" w:usb1="00000000" w:usb2="00000000" w:usb3="00000000" w:csb0="00040001" w:csb1="00000000"/>
  </w:font>
  <w:font w:name="RSLATL+FZKTJW--GB1-0">
    <w:altName w:val="宋体"/>
    <w:panose1 w:val="03000509000000000000"/>
    <w:charset w:val="86"/>
    <w:family w:val="swiss"/>
    <w:pitch w:val="default"/>
    <w:sig w:usb0="00000000" w:usb1="00000000" w:usb2="00000000" w:usb3="00000000" w:csb0="00040001" w:csb1="00000000"/>
  </w:font>
  <w:font w:name="BQECSV+FangSong_GB2312">
    <w:altName w:val="微软雅黑"/>
    <w:panose1 w:val="02000500000000000000"/>
    <w:charset w:val="01"/>
    <w:family w:val="auto"/>
    <w:pitch w:val="default"/>
    <w:sig w:usb0="00000000" w:usb1="00000000" w:usb2="00000000" w:usb3="00000000" w:csb0="00040001" w:csb1="00000000"/>
  </w:font>
  <w:font w:name="FDWFRV+TimesNewRomanPSMT">
    <w:altName w:val="微软雅黑"/>
    <w:panose1 w:val="02000500000000000000"/>
    <w:charset w:val="01"/>
    <w:family w:val="auto"/>
    <w:pitch w:val="default"/>
    <w:sig w:usb0="00000000" w:usb1="00000000" w:usb2="00000000" w:usb3="00000000" w:csb0="00040001" w:csb1="00000000"/>
  </w:font>
  <w:font w:name="HLAMVN+FangSong_GB2312">
    <w:altName w:val="微软雅黑"/>
    <w:panose1 w:val="02000500000000000000"/>
    <w:charset w:val="01"/>
    <w:family w:val="auto"/>
    <w:pitch w:val="default"/>
    <w:sig w:usb0="00000000" w:usb1="00000000" w:usb2="00000000" w:usb3="00000000" w:csb0="00040001" w:csb1="00000000"/>
  </w:font>
  <w:font w:name="PPQGFV+TimesNewRomanPSMT">
    <w:altName w:val="微软雅黑"/>
    <w:panose1 w:val="02000500000000000000"/>
    <w:charset w:val="01"/>
    <w:family w:val="auto"/>
    <w:pitch w:val="default"/>
    <w:sig w:usb0="00000000" w:usb1="00000000" w:usb2="00000000" w:usb3="00000000" w:csb0="00040001" w:csb1="00000000"/>
  </w:font>
  <w:font w:name="AIELGV+TimesNewRomanPSMT">
    <w:altName w:val="微软雅黑"/>
    <w:panose1 w:val="02000500000000000000"/>
    <w:charset w:val="01"/>
    <w:family w:val="auto"/>
    <w:pitch w:val="default"/>
    <w:sig w:usb0="00000000" w:usb1="00000000" w:usb2="00000000" w:usb3="00000000" w:csb0="00040001" w:csb1="00000000"/>
  </w:font>
  <w:font w:name="PSATKK+FangSong_GB2312">
    <w:altName w:val="微软雅黑"/>
    <w:panose1 w:val="02000500000000000000"/>
    <w:charset w:val="01"/>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MS PGothic">
    <w:panose1 w:val="020B0600070205080204"/>
    <w:charset w:val="86"/>
    <w:family w:val="auto"/>
    <w:pitch w:val="default"/>
    <w:sig w:usb0="E00002FF" w:usb1="6AC7FDFB" w:usb2="00000012" w:usb3="00000000" w:csb0="4002009F" w:csb1="DFD70000"/>
  </w:font>
  <w:font w:name="Arial">
    <w:panose1 w:val="020B0604020202020204"/>
    <w:charset w:val="86"/>
    <w:family w:val="auto"/>
    <w:pitch w:val="default"/>
    <w:sig w:usb0="E0002AFF" w:usb1="C0007843" w:usb2="00000009" w:usb3="00000000" w:csb0="400001FF" w:csb1="FFFF0000"/>
  </w:font>
  <w:font w:name="-apple-system-font">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9">
    <w:altName w:val="Segoe Print"/>
    <w:panose1 w:val="00000000000000000000"/>
    <w:charset w:val="00"/>
    <w:family w:val="auto"/>
    <w:pitch w:val="default"/>
    <w:sig w:usb0="00000000" w:usb1="00000000" w:usb2="00000000" w:usb3="00000000" w:csb0="00000000" w:csb1="00000000"/>
  </w:font>
  <w:font w:name="95">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Malgun Gothic Semilight">
    <w:altName w:val="宋体"/>
    <w:panose1 w:val="020B0502040204020203"/>
    <w:charset w:val="86"/>
    <w:family w:val="auto"/>
    <w:pitch w:val="default"/>
    <w:sig w:usb0="00000000" w:usb1="00000000" w:usb2="00000012" w:usb3="00000000" w:csb0="003E01BD" w:csb1="00000000"/>
  </w:font>
  <w:font w:name="Dotum">
    <w:panose1 w:val="020B0600000101010101"/>
    <w:charset w:val="81"/>
    <w:family w:val="auto"/>
    <w:pitch w:val="default"/>
    <w:sig w:usb0="B00002AF" w:usb1="69D77CFB" w:usb2="00000030" w:usb3="00000000" w:csb0="4008009F" w:csb1="DFD70000"/>
  </w:font>
  <w:font w:name="FZYaSong-H-GBK">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27</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74F44"/>
    <w:multiLevelType w:val="singleLevel"/>
    <w:tmpl w:val="5D074F44"/>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6D32"/>
    <w:rsid w:val="003921BF"/>
    <w:rsid w:val="004F737F"/>
    <w:rsid w:val="02363C1F"/>
    <w:rsid w:val="02F11F67"/>
    <w:rsid w:val="03167188"/>
    <w:rsid w:val="04C47CC0"/>
    <w:rsid w:val="04E665D9"/>
    <w:rsid w:val="064238C7"/>
    <w:rsid w:val="06724332"/>
    <w:rsid w:val="09AE140A"/>
    <w:rsid w:val="09CB704D"/>
    <w:rsid w:val="0A487116"/>
    <w:rsid w:val="0A760159"/>
    <w:rsid w:val="0C7D09DD"/>
    <w:rsid w:val="0D0C16AE"/>
    <w:rsid w:val="0E427136"/>
    <w:rsid w:val="123B1FC8"/>
    <w:rsid w:val="128254DC"/>
    <w:rsid w:val="137C4622"/>
    <w:rsid w:val="13CC2FAE"/>
    <w:rsid w:val="14436689"/>
    <w:rsid w:val="146008ED"/>
    <w:rsid w:val="15C364DA"/>
    <w:rsid w:val="15D74B27"/>
    <w:rsid w:val="15DF1B2A"/>
    <w:rsid w:val="16D3249C"/>
    <w:rsid w:val="16E97FB7"/>
    <w:rsid w:val="16F950A2"/>
    <w:rsid w:val="18A314E4"/>
    <w:rsid w:val="18D81B58"/>
    <w:rsid w:val="1A3D7376"/>
    <w:rsid w:val="1AB0177A"/>
    <w:rsid w:val="1B8156DE"/>
    <w:rsid w:val="1C132C06"/>
    <w:rsid w:val="1C8C606C"/>
    <w:rsid w:val="1E175592"/>
    <w:rsid w:val="1E6E4FF6"/>
    <w:rsid w:val="1EFE4518"/>
    <w:rsid w:val="20392F03"/>
    <w:rsid w:val="212B6E34"/>
    <w:rsid w:val="22047CFB"/>
    <w:rsid w:val="23247298"/>
    <w:rsid w:val="234B4EA8"/>
    <w:rsid w:val="234C15FA"/>
    <w:rsid w:val="23874ED3"/>
    <w:rsid w:val="23DD2337"/>
    <w:rsid w:val="23E107A8"/>
    <w:rsid w:val="23EA736A"/>
    <w:rsid w:val="23FF6B08"/>
    <w:rsid w:val="24BA53B7"/>
    <w:rsid w:val="24F13AD1"/>
    <w:rsid w:val="25B93FC8"/>
    <w:rsid w:val="260408F1"/>
    <w:rsid w:val="266836A8"/>
    <w:rsid w:val="26C954BD"/>
    <w:rsid w:val="275B15BA"/>
    <w:rsid w:val="27C1080E"/>
    <w:rsid w:val="286D0554"/>
    <w:rsid w:val="289572EB"/>
    <w:rsid w:val="28E44835"/>
    <w:rsid w:val="29101D63"/>
    <w:rsid w:val="295C3055"/>
    <w:rsid w:val="29817C67"/>
    <w:rsid w:val="2AAE77EA"/>
    <w:rsid w:val="2AB572C9"/>
    <w:rsid w:val="2B080ECB"/>
    <w:rsid w:val="2B464ED5"/>
    <w:rsid w:val="2B8E1A53"/>
    <w:rsid w:val="2C9B55C2"/>
    <w:rsid w:val="2C9D19E5"/>
    <w:rsid w:val="2CC5011D"/>
    <w:rsid w:val="2CDD37B5"/>
    <w:rsid w:val="2D325EF0"/>
    <w:rsid w:val="2E3E62C3"/>
    <w:rsid w:val="2E621A94"/>
    <w:rsid w:val="2F144647"/>
    <w:rsid w:val="2FD619CA"/>
    <w:rsid w:val="30894ED8"/>
    <w:rsid w:val="30FD7895"/>
    <w:rsid w:val="31BF6942"/>
    <w:rsid w:val="32A25FEC"/>
    <w:rsid w:val="32A7706F"/>
    <w:rsid w:val="32E8762F"/>
    <w:rsid w:val="33DA4124"/>
    <w:rsid w:val="3447284F"/>
    <w:rsid w:val="35020E50"/>
    <w:rsid w:val="36490A3D"/>
    <w:rsid w:val="367A6781"/>
    <w:rsid w:val="369C18AF"/>
    <w:rsid w:val="37887103"/>
    <w:rsid w:val="37B84C59"/>
    <w:rsid w:val="37E718C8"/>
    <w:rsid w:val="384E42E7"/>
    <w:rsid w:val="386B44EE"/>
    <w:rsid w:val="39281EC2"/>
    <w:rsid w:val="39907778"/>
    <w:rsid w:val="39C7555D"/>
    <w:rsid w:val="3B016DB8"/>
    <w:rsid w:val="3B7104B9"/>
    <w:rsid w:val="3C1E1E01"/>
    <w:rsid w:val="3C78294C"/>
    <w:rsid w:val="3CD467A1"/>
    <w:rsid w:val="3E2607D7"/>
    <w:rsid w:val="3E897475"/>
    <w:rsid w:val="3F440084"/>
    <w:rsid w:val="3F7F1476"/>
    <w:rsid w:val="401160BE"/>
    <w:rsid w:val="41A95A88"/>
    <w:rsid w:val="427F2DCD"/>
    <w:rsid w:val="43721B2D"/>
    <w:rsid w:val="437408D6"/>
    <w:rsid w:val="45A319CC"/>
    <w:rsid w:val="476B1379"/>
    <w:rsid w:val="47C763E5"/>
    <w:rsid w:val="48335B2D"/>
    <w:rsid w:val="488A3ACD"/>
    <w:rsid w:val="491138B7"/>
    <w:rsid w:val="4A065F0C"/>
    <w:rsid w:val="4ADB49FF"/>
    <w:rsid w:val="4B231210"/>
    <w:rsid w:val="4B602BA8"/>
    <w:rsid w:val="4CE355B4"/>
    <w:rsid w:val="4D0A19CE"/>
    <w:rsid w:val="4DC012A9"/>
    <w:rsid w:val="4DF145D0"/>
    <w:rsid w:val="4DF71B36"/>
    <w:rsid w:val="4EE46B05"/>
    <w:rsid w:val="4F46250A"/>
    <w:rsid w:val="512647F0"/>
    <w:rsid w:val="51451695"/>
    <w:rsid w:val="520E6165"/>
    <w:rsid w:val="54252885"/>
    <w:rsid w:val="56CE42D5"/>
    <w:rsid w:val="572E6654"/>
    <w:rsid w:val="576B1A31"/>
    <w:rsid w:val="598C3AFA"/>
    <w:rsid w:val="59EA59D5"/>
    <w:rsid w:val="5A1769C8"/>
    <w:rsid w:val="5C3A7200"/>
    <w:rsid w:val="5C764F37"/>
    <w:rsid w:val="5D8740AE"/>
    <w:rsid w:val="5EB73221"/>
    <w:rsid w:val="60292069"/>
    <w:rsid w:val="60A1628F"/>
    <w:rsid w:val="60BF3E0F"/>
    <w:rsid w:val="610C708E"/>
    <w:rsid w:val="611C6F4F"/>
    <w:rsid w:val="6122703B"/>
    <w:rsid w:val="614C4EFF"/>
    <w:rsid w:val="61527875"/>
    <w:rsid w:val="615616FE"/>
    <w:rsid w:val="620E0EEE"/>
    <w:rsid w:val="62722AFC"/>
    <w:rsid w:val="62A44F36"/>
    <w:rsid w:val="63267CBE"/>
    <w:rsid w:val="63BB1B63"/>
    <w:rsid w:val="659973DA"/>
    <w:rsid w:val="668B57F7"/>
    <w:rsid w:val="669D5B8F"/>
    <w:rsid w:val="68EC4408"/>
    <w:rsid w:val="68F25E81"/>
    <w:rsid w:val="692C6D5C"/>
    <w:rsid w:val="69FA4AC7"/>
    <w:rsid w:val="6B351821"/>
    <w:rsid w:val="6BD149E7"/>
    <w:rsid w:val="6C1F47CC"/>
    <w:rsid w:val="6C73598D"/>
    <w:rsid w:val="6D4341A4"/>
    <w:rsid w:val="6D570D83"/>
    <w:rsid w:val="6E137C88"/>
    <w:rsid w:val="6E8978EB"/>
    <w:rsid w:val="6EA248D1"/>
    <w:rsid w:val="709A4363"/>
    <w:rsid w:val="71733E92"/>
    <w:rsid w:val="71C00551"/>
    <w:rsid w:val="74C4270F"/>
    <w:rsid w:val="74FF6343"/>
    <w:rsid w:val="767B0079"/>
    <w:rsid w:val="76DC03A8"/>
    <w:rsid w:val="7742651C"/>
    <w:rsid w:val="7794623F"/>
    <w:rsid w:val="77D40CEB"/>
    <w:rsid w:val="77DC082E"/>
    <w:rsid w:val="785F4ADC"/>
    <w:rsid w:val="79BF4623"/>
    <w:rsid w:val="79F95050"/>
    <w:rsid w:val="7B8A64C0"/>
    <w:rsid w:val="7BCA7528"/>
    <w:rsid w:val="7C0B5E29"/>
    <w:rsid w:val="7C9F639C"/>
    <w:rsid w:val="7DD46A2D"/>
    <w:rsid w:val="7F063B98"/>
    <w:rsid w:val="7F2868E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2B2B2B"/>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2B2B2B"/>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paragraph" w:customStyle="1" w:styleId="15">
    <w:name w:val="列出段落1"/>
    <w:basedOn w:val="1"/>
    <w:qFormat/>
    <w:uiPriority w:val="99"/>
    <w:pPr>
      <w:ind w:firstLine="420" w:firstLineChars="200"/>
    </w:pPr>
    <w:rPr>
      <w:rFonts w:ascii="等线" w:hAnsi="等线" w:eastAsia="等线" w:cs="等线"/>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蒋伟</cp:lastModifiedBy>
  <cp:lastPrinted>2020-01-16T01:42:00Z</cp:lastPrinted>
  <dcterms:modified xsi:type="dcterms:W3CDTF">2020-01-16T08:19:42Z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