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4CD4">
      <w:pPr>
        <w:pStyle w:val="2"/>
        <w:keepNext w:val="0"/>
        <w:keepLines w:val="0"/>
        <w:pageBreakBefore w:val="0"/>
        <w:widowControl w:val="0"/>
        <w:numPr>
          <w:ilvl w:val="0"/>
          <w:numId w:val="0"/>
        </w:numPr>
        <w:kinsoku/>
        <w:wordWrap/>
        <w:overflowPunct/>
        <w:topLinePunct w:val="0"/>
        <w:autoSpaceDE/>
        <w:autoSpaceDN/>
        <w:bidi w:val="0"/>
        <w:adjustRightInd/>
        <w:snapToGrid/>
        <w:spacing w:after="0" w:line="780" w:lineRule="exact"/>
        <w:jc w:val="center"/>
        <w:textAlignment w:val="auto"/>
        <w:rPr>
          <w:rFonts w:hint="eastAsia" w:ascii="方正小标宋_GBK" w:hAnsi="方正小标宋_GBK" w:eastAsia="方正小标宋_GBK" w:cs="方正小标宋_GBK"/>
          <w:color w:val="auto"/>
          <w:kern w:val="21"/>
          <w:sz w:val="44"/>
          <w:szCs w:val="44"/>
          <w:lang w:val="en-US" w:eastAsia="zh-CN"/>
        </w:rPr>
      </w:pPr>
      <w:r>
        <w:rPr>
          <w:rFonts w:hint="eastAsia" w:ascii="方正小标宋_GBK" w:hAnsi="方正小标宋_GBK" w:eastAsia="方正小标宋_GBK" w:cs="方正小标宋_GBK"/>
          <w:color w:val="auto"/>
          <w:kern w:val="21"/>
          <w:sz w:val="44"/>
          <w:szCs w:val="44"/>
          <w:lang w:val="en" w:eastAsia="zh-CN"/>
        </w:rPr>
        <w:t>2026年汛期暑期宁夏交通运输</w:t>
      </w:r>
      <w:r>
        <w:rPr>
          <w:rFonts w:hint="eastAsia" w:ascii="方正小标宋_GBK" w:hAnsi="方正小标宋_GBK" w:eastAsia="方正小标宋_GBK" w:cs="方正小标宋_GBK"/>
          <w:color w:val="auto"/>
          <w:kern w:val="21"/>
          <w:sz w:val="44"/>
          <w:szCs w:val="44"/>
          <w:lang w:val="en-US" w:eastAsia="zh-CN"/>
        </w:rPr>
        <w:t>重大风险隐患市级</w:t>
      </w:r>
      <w:r>
        <w:rPr>
          <w:rFonts w:hint="eastAsia" w:ascii="方正小标宋_GBK" w:hAnsi="方正小标宋_GBK" w:eastAsia="方正小标宋_GBK" w:cs="方正小标宋_GBK"/>
          <w:color w:val="auto"/>
          <w:kern w:val="21"/>
          <w:sz w:val="44"/>
          <w:szCs w:val="44"/>
          <w:lang w:val="en" w:eastAsia="zh-CN"/>
        </w:rPr>
        <w:t>抽查指南</w:t>
      </w:r>
    </w:p>
    <w:p w14:paraId="355E9D7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1"/>
          <w:sz w:val="32"/>
          <w:szCs w:val="32"/>
          <w:lang w:val="en-US" w:eastAsia="zh-CN"/>
        </w:rPr>
      </w:pPr>
      <w:bookmarkStart w:id="0" w:name="_GoBack"/>
      <w:bookmarkEnd w:id="0"/>
    </w:p>
    <w:p w14:paraId="1D90E5A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1"/>
          <w:sz w:val="32"/>
          <w:szCs w:val="32"/>
          <w:lang w:val="en-US" w:eastAsia="zh-CN"/>
        </w:rPr>
      </w:pPr>
      <w:r>
        <w:rPr>
          <w:rFonts w:hint="eastAsia" w:ascii="方正仿宋_GBK" w:hAnsi="方正仿宋_GBK" w:eastAsia="方正仿宋_GBK" w:cs="方正仿宋_GBK"/>
          <w:color w:val="auto"/>
          <w:kern w:val="21"/>
          <w:sz w:val="32"/>
          <w:szCs w:val="32"/>
          <w:lang w:val="en-US" w:eastAsia="zh-CN"/>
        </w:rPr>
        <w:t>为进一步加强对县（市、区）级交通运输主管部门抽查工作指导，切实推动汛期暑期全区交通运输安全生产重大风险隐患排查整治行动落地落实落细，提出如下工作要求。</w:t>
      </w:r>
    </w:p>
    <w:p w14:paraId="2D78453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21"/>
          <w:sz w:val="32"/>
          <w:szCs w:val="32"/>
          <w:lang w:val="en-US" w:eastAsia="zh-CN"/>
        </w:rPr>
      </w:pPr>
      <w:r>
        <w:rPr>
          <w:rFonts w:hint="eastAsia" w:ascii="方正黑体_GBK" w:hAnsi="方正黑体_GBK" w:eastAsia="方正黑体_GBK" w:cs="方正黑体_GBK"/>
          <w:color w:val="auto"/>
          <w:kern w:val="21"/>
          <w:sz w:val="32"/>
          <w:szCs w:val="32"/>
          <w:lang w:val="en-US" w:eastAsia="zh-CN"/>
        </w:rPr>
        <w:t>一、组建抽查工作组。</w:t>
      </w:r>
      <w:r>
        <w:rPr>
          <w:rFonts w:hint="eastAsia" w:ascii="方正仿宋_GBK" w:hAnsi="方正仿宋_GBK" w:eastAsia="方正仿宋_GBK" w:cs="方正仿宋_GBK"/>
          <w:color w:val="auto"/>
          <w:kern w:val="21"/>
          <w:sz w:val="32"/>
          <w:szCs w:val="32"/>
          <w:lang w:val="en-US" w:eastAsia="zh-CN"/>
        </w:rPr>
        <w:t>各地级市交通运输局要</w:t>
      </w:r>
      <w:r>
        <w:rPr>
          <w:rFonts w:hint="eastAsia" w:ascii="方正仿宋_GBK" w:hAnsi="方正仿宋_GBK" w:eastAsia="方正仿宋_GBK" w:cs="方正仿宋_GBK"/>
          <w:snapToGrid/>
          <w:color w:val="auto"/>
          <w:spacing w:val="0"/>
          <w:kern w:val="21"/>
          <w:sz w:val="32"/>
          <w:szCs w:val="32"/>
          <w:lang w:eastAsia="zh-CN"/>
        </w:rPr>
        <w:t>坚持</w:t>
      </w:r>
      <w:r>
        <w:rPr>
          <w:rFonts w:hint="eastAsia" w:ascii="方正仿宋_GBK" w:hAnsi="方正仿宋_GBK" w:eastAsia="方正仿宋_GBK" w:cs="方正仿宋_GBK"/>
          <w:snapToGrid/>
          <w:color w:val="auto"/>
          <w:spacing w:val="0"/>
          <w:kern w:val="21"/>
          <w:sz w:val="32"/>
          <w:szCs w:val="32"/>
        </w:rPr>
        <w:t>主要负责人负总责、分管领导抓具体</w:t>
      </w:r>
      <w:r>
        <w:rPr>
          <w:rFonts w:hint="eastAsia" w:ascii="方正仿宋_GBK" w:hAnsi="方正仿宋_GBK" w:eastAsia="方正仿宋_GBK" w:cs="方正仿宋_GBK"/>
          <w:snapToGrid/>
          <w:color w:val="auto"/>
          <w:spacing w:val="0"/>
          <w:kern w:val="21"/>
          <w:sz w:val="32"/>
          <w:szCs w:val="32"/>
          <w:lang w:eastAsia="zh-CN"/>
        </w:rPr>
        <w:t>的原则</w:t>
      </w:r>
      <w:r>
        <w:rPr>
          <w:rFonts w:hint="eastAsia" w:ascii="方正仿宋_GBK" w:hAnsi="方正仿宋_GBK" w:eastAsia="方正仿宋_GBK" w:cs="方正仿宋_GBK"/>
          <w:snapToGrid/>
          <w:color w:val="auto"/>
          <w:spacing w:val="0"/>
          <w:kern w:val="21"/>
          <w:sz w:val="32"/>
          <w:szCs w:val="32"/>
        </w:rPr>
        <w:t>，确定牵头部门和配合部门，以及相关责任人员</w:t>
      </w:r>
      <w:r>
        <w:rPr>
          <w:rFonts w:hint="eastAsia" w:ascii="方正仿宋_GBK" w:hAnsi="方正仿宋_GBK" w:eastAsia="方正仿宋_GBK" w:cs="方正仿宋_GBK"/>
          <w:snapToGrid/>
          <w:color w:val="auto"/>
          <w:spacing w:val="0"/>
          <w:kern w:val="21"/>
          <w:sz w:val="32"/>
          <w:szCs w:val="32"/>
          <w:lang w:eastAsia="zh-CN"/>
        </w:rPr>
        <w:t>，并</w:t>
      </w:r>
      <w:r>
        <w:rPr>
          <w:rFonts w:hint="eastAsia" w:ascii="方正仿宋_GBK" w:hAnsi="方正仿宋_GBK" w:eastAsia="方正仿宋_GBK" w:cs="方正仿宋_GBK"/>
          <w:color w:val="auto"/>
          <w:kern w:val="21"/>
          <w:sz w:val="32"/>
          <w:szCs w:val="32"/>
          <w:lang w:val="en-US" w:eastAsia="zh-CN"/>
        </w:rPr>
        <w:t>组织行业专家、第三方服务机构和执法力量等成立抽查工作组，按照不低于</w:t>
      </w:r>
      <w:r>
        <w:rPr>
          <w:rFonts w:hint="default" w:ascii="Times New Roman" w:hAnsi="Times New Roman" w:eastAsia="方正仿宋_GBK" w:cs="Times New Roman"/>
          <w:color w:val="auto"/>
          <w:kern w:val="21"/>
          <w:sz w:val="32"/>
          <w:szCs w:val="32"/>
          <w:lang w:val="en-US" w:eastAsia="zh-CN"/>
        </w:rPr>
        <w:t>30%的比例，对辖区县（市、区）级交通运输主管部门进行抽查。</w:t>
      </w:r>
    </w:p>
    <w:p w14:paraId="23F5FA8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1"/>
          <w:sz w:val="32"/>
          <w:szCs w:val="32"/>
          <w:lang w:val="en-US" w:eastAsia="zh-CN"/>
        </w:rPr>
      </w:pPr>
      <w:r>
        <w:rPr>
          <w:rFonts w:hint="eastAsia" w:ascii="方正黑体_GBK" w:hAnsi="方正黑体_GBK" w:eastAsia="方正黑体_GBK" w:cs="方正黑体_GBK"/>
          <w:color w:val="auto"/>
          <w:kern w:val="21"/>
          <w:sz w:val="32"/>
          <w:szCs w:val="32"/>
          <w:lang w:val="en-US" w:eastAsia="zh-CN"/>
        </w:rPr>
        <w:t>二、开展重点检查。</w:t>
      </w:r>
      <w:r>
        <w:rPr>
          <w:rFonts w:hint="eastAsia" w:ascii="方正仿宋_GBK" w:hAnsi="方正仿宋_GBK" w:eastAsia="方正仿宋_GBK" w:cs="方正仿宋_GBK"/>
          <w:snapToGrid/>
          <w:color w:val="auto"/>
          <w:spacing w:val="0"/>
          <w:kern w:val="21"/>
          <w:sz w:val="32"/>
          <w:szCs w:val="32"/>
        </w:rPr>
        <w:t>要</w:t>
      </w:r>
      <w:r>
        <w:rPr>
          <w:rFonts w:hint="eastAsia" w:ascii="方正仿宋_GBK" w:hAnsi="方正仿宋_GBK" w:eastAsia="方正仿宋_GBK" w:cs="方正仿宋_GBK"/>
          <w:color w:val="auto"/>
          <w:kern w:val="21"/>
          <w:sz w:val="32"/>
          <w:szCs w:val="32"/>
          <w:lang w:val="en-US" w:eastAsia="zh-CN"/>
        </w:rPr>
        <w:t>依据管理部门工作台账、系统填报信息和安全生产举报线索等情况，</w:t>
      </w:r>
      <w:r>
        <w:rPr>
          <w:rFonts w:hint="eastAsia" w:ascii="方正仿宋_GBK" w:hAnsi="方正仿宋_GBK" w:eastAsia="方正仿宋_GBK" w:cs="方正仿宋_GBK"/>
          <w:snapToGrid/>
          <w:color w:val="auto"/>
          <w:spacing w:val="0"/>
          <w:kern w:val="21"/>
          <w:sz w:val="32"/>
          <w:szCs w:val="32"/>
        </w:rPr>
        <w:t>将企业自查、县级排查均未发现</w:t>
      </w:r>
      <w:r>
        <w:rPr>
          <w:rFonts w:hint="eastAsia" w:ascii="方正仿宋_GBK" w:hAnsi="方正仿宋_GBK" w:eastAsia="方正仿宋_GBK" w:cs="方正仿宋_GBK"/>
          <w:snapToGrid/>
          <w:color w:val="auto"/>
          <w:spacing w:val="0"/>
          <w:kern w:val="21"/>
          <w:sz w:val="32"/>
          <w:szCs w:val="32"/>
          <w:lang w:eastAsia="zh-CN"/>
        </w:rPr>
        <w:t>重大事故隐患</w:t>
      </w:r>
      <w:r>
        <w:rPr>
          <w:rFonts w:hint="eastAsia" w:ascii="方正仿宋_GBK" w:hAnsi="方正仿宋_GBK" w:eastAsia="方正仿宋_GBK" w:cs="方正仿宋_GBK"/>
          <w:snapToGrid/>
          <w:color w:val="auto"/>
          <w:spacing w:val="0"/>
          <w:kern w:val="21"/>
          <w:sz w:val="32"/>
          <w:szCs w:val="32"/>
        </w:rPr>
        <w:t>的县级地区，作为重点对象，针对性开展检查</w:t>
      </w:r>
      <w:r>
        <w:rPr>
          <w:rFonts w:hint="eastAsia" w:ascii="方正仿宋_GBK" w:hAnsi="方正仿宋_GBK" w:eastAsia="方正仿宋_GBK" w:cs="方正仿宋_GBK"/>
          <w:color w:val="auto"/>
          <w:kern w:val="21"/>
          <w:sz w:val="32"/>
          <w:szCs w:val="32"/>
          <w:lang w:val="en-US" w:eastAsia="zh-CN"/>
        </w:rPr>
        <w:t>。</w:t>
      </w:r>
    </w:p>
    <w:p w14:paraId="585B361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1"/>
          <w:sz w:val="32"/>
          <w:szCs w:val="32"/>
          <w:lang w:val="en" w:eastAsia="zh-CN"/>
        </w:rPr>
      </w:pPr>
      <w:r>
        <w:rPr>
          <w:rFonts w:hint="eastAsia" w:ascii="方正黑体_GBK" w:hAnsi="方正黑体_GBK" w:eastAsia="方正黑体_GBK" w:cs="方正黑体_GBK"/>
          <w:color w:val="auto"/>
          <w:kern w:val="21"/>
          <w:sz w:val="32"/>
          <w:szCs w:val="32"/>
          <w:lang w:val="en-US" w:eastAsia="zh-CN"/>
        </w:rPr>
        <w:t>三、强化动态清零。</w:t>
      </w:r>
      <w:r>
        <w:rPr>
          <w:rFonts w:hint="eastAsia" w:ascii="方正仿宋_GBK" w:hAnsi="方正仿宋_GBK" w:eastAsia="方正仿宋_GBK" w:cs="方正仿宋_GBK"/>
          <w:color w:val="auto"/>
          <w:kern w:val="21"/>
          <w:sz w:val="32"/>
          <w:szCs w:val="32"/>
          <w:lang w:val="en-US" w:eastAsia="zh-CN"/>
        </w:rPr>
        <w:t>现场发现隐患应立即反馈，督促立行立改，一时难以整改的纳入台账管理。对抽查发现的重大事故隐患，要视情采取挂牌督办和提级管控等措施，推动重大事故隐患动态清零</w:t>
      </w:r>
      <w:r>
        <w:rPr>
          <w:rFonts w:hint="eastAsia" w:ascii="方正仿宋_GBK" w:hAnsi="方正仿宋_GBK" w:eastAsia="方正仿宋_GBK" w:cs="方正仿宋_GBK"/>
          <w:color w:val="auto"/>
          <w:kern w:val="21"/>
          <w:sz w:val="32"/>
          <w:szCs w:val="32"/>
          <w:lang w:val="en" w:eastAsia="zh-CN"/>
        </w:rPr>
        <w:t>。</w:t>
      </w:r>
    </w:p>
    <w:p w14:paraId="798BC9F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1"/>
          <w:sz w:val="32"/>
          <w:szCs w:val="32"/>
          <w:lang w:val="en" w:eastAsia="zh-CN"/>
        </w:rPr>
      </w:pPr>
      <w:r>
        <w:rPr>
          <w:rFonts w:hint="eastAsia" w:ascii="方正黑体_GBK" w:hAnsi="方正黑体_GBK" w:eastAsia="方正黑体_GBK" w:cs="方正黑体_GBK"/>
          <w:color w:val="auto"/>
          <w:kern w:val="21"/>
          <w:sz w:val="32"/>
          <w:szCs w:val="32"/>
          <w:lang w:val="en" w:eastAsia="zh-CN"/>
        </w:rPr>
        <w:t>四、严格实施提级管控。</w:t>
      </w:r>
      <w:r>
        <w:rPr>
          <w:rFonts w:hint="eastAsia" w:ascii="方正仿宋_GBK" w:hAnsi="方正仿宋_GBK" w:eastAsia="方正仿宋_GBK" w:cs="方正仿宋_GBK"/>
          <w:color w:val="auto"/>
          <w:kern w:val="21"/>
          <w:sz w:val="32"/>
          <w:szCs w:val="32"/>
          <w:lang w:val="en-US" w:eastAsia="zh-CN"/>
        </w:rPr>
        <w:t>要加快建立完善本地区重大危险源节假日提级管控和日常监管工作机制，并督促指导本辖区重大危险源企业同步建立工作机制，“五一”假期认真组织做好“每日自查、每日报告、每日调度核查”各项重点工作。</w:t>
      </w:r>
    </w:p>
    <w:p w14:paraId="370AC91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kern w:val="21"/>
          <w:sz w:val="32"/>
          <w:szCs w:val="32"/>
          <w:lang w:val="en" w:eastAsia="zh-CN"/>
        </w:rPr>
      </w:pPr>
      <w:r>
        <w:rPr>
          <w:rFonts w:hint="eastAsia" w:ascii="方正黑体_GBK" w:hAnsi="方正黑体_GBK" w:eastAsia="方正黑体_GBK" w:cs="方正黑体_GBK"/>
          <w:color w:val="auto"/>
          <w:kern w:val="21"/>
          <w:sz w:val="32"/>
          <w:szCs w:val="32"/>
          <w:lang w:val="en" w:eastAsia="zh-CN"/>
        </w:rPr>
        <w:t>五、全面落实三十条硬措施。</w:t>
      </w:r>
      <w:r>
        <w:rPr>
          <w:rFonts w:hint="eastAsia" w:ascii="方正仿宋_GBK" w:hAnsi="方正仿宋_GBK" w:eastAsia="方正仿宋_GBK" w:cs="方正仿宋_GBK"/>
          <w:snapToGrid/>
          <w:color w:val="auto"/>
          <w:spacing w:val="0"/>
          <w:kern w:val="21"/>
          <w:sz w:val="32"/>
          <w:szCs w:val="32"/>
        </w:rPr>
        <w:t>要</w:t>
      </w:r>
      <w:r>
        <w:rPr>
          <w:rFonts w:hint="eastAsia" w:ascii="方正仿宋_GBK" w:hAnsi="方正仿宋_GBK" w:eastAsia="方正仿宋_GBK" w:cs="方正仿宋_GBK"/>
          <w:color w:val="auto"/>
          <w:kern w:val="21"/>
          <w:sz w:val="32"/>
          <w:szCs w:val="32"/>
          <w:lang w:val="en" w:eastAsia="zh-CN"/>
        </w:rPr>
        <w:t>按照“高于常规、严于平时”的要求，指导督促辖区</w:t>
      </w:r>
      <w:r>
        <w:rPr>
          <w:rFonts w:hint="eastAsia" w:ascii="方正仿宋_GBK" w:hAnsi="方正仿宋_GBK" w:eastAsia="方正仿宋_GBK" w:cs="方正仿宋_GBK"/>
          <w:color w:val="auto"/>
          <w:kern w:val="21"/>
          <w:sz w:val="32"/>
          <w:szCs w:val="32"/>
          <w:lang w:val="en-US" w:eastAsia="zh-CN"/>
        </w:rPr>
        <w:t>县（市、区）级交通运输主管部门</w:t>
      </w:r>
      <w:r>
        <w:rPr>
          <w:rFonts w:hint="eastAsia" w:ascii="方正仿宋_GBK" w:hAnsi="方正仿宋_GBK" w:eastAsia="方正仿宋_GBK" w:cs="方正仿宋_GBK"/>
          <w:color w:val="auto"/>
          <w:kern w:val="21"/>
          <w:sz w:val="32"/>
          <w:szCs w:val="32"/>
          <w:lang w:val="en" w:eastAsia="zh-CN"/>
        </w:rPr>
        <w:t>和重点企业、项目严格落实人员密集场所驻场监管、旁站监管，高危作业提级管控，极端天气“关、停、撤”等措施。</w:t>
      </w:r>
    </w:p>
    <w:p w14:paraId="608E6AF4">
      <w:pPr>
        <w:pStyle w:val="2"/>
        <w:keepNext w:val="0"/>
        <w:keepLines w:val="0"/>
        <w:pageBreakBefore w:val="0"/>
        <w:widowControl w:val="0"/>
        <w:numPr>
          <w:ilvl w:val="0"/>
          <w:numId w:val="0"/>
        </w:numPr>
        <w:kinsoku/>
        <w:wordWrap/>
        <w:overflowPunct w:val="0"/>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cs="方正仿宋_GBK"/>
          <w:color w:val="auto"/>
          <w:kern w:val="21"/>
          <w:sz w:val="32"/>
          <w:szCs w:val="32"/>
          <w:lang w:val="en-US" w:eastAsia="zh-CN"/>
        </w:rPr>
      </w:pPr>
      <w:r>
        <w:rPr>
          <w:rFonts w:hint="eastAsia" w:ascii="方正黑体_GBK" w:hAnsi="方正黑体_GBK" w:eastAsia="方正黑体_GBK" w:cs="方正黑体_GBK"/>
          <w:color w:val="auto"/>
          <w:kern w:val="21"/>
          <w:sz w:val="32"/>
          <w:szCs w:val="32"/>
          <w:lang w:val="en" w:eastAsia="zh-CN"/>
        </w:rPr>
        <w:t>六、</w:t>
      </w:r>
      <w:r>
        <w:rPr>
          <w:rFonts w:hint="eastAsia" w:ascii="方正黑体_GBK" w:hAnsi="方正黑体_GBK" w:eastAsia="方正黑体_GBK" w:cs="方正黑体_GBK"/>
          <w:b w:val="0"/>
          <w:bCs w:val="0"/>
          <w:color w:val="auto"/>
          <w:kern w:val="21"/>
          <w:sz w:val="32"/>
          <w:szCs w:val="32"/>
          <w:lang w:val="en-US" w:eastAsia="zh-CN"/>
        </w:rPr>
        <w:t>严格执行判定标准。</w:t>
      </w:r>
      <w:r>
        <w:rPr>
          <w:rFonts w:hint="eastAsia" w:ascii="方正仿宋_GBK" w:hAnsi="方正仿宋_GBK" w:eastAsia="方正仿宋_GBK" w:cs="方正仿宋_GBK"/>
          <w:color w:val="auto"/>
          <w:kern w:val="21"/>
          <w:sz w:val="32"/>
          <w:szCs w:val="32"/>
          <w:lang w:val="en-US" w:eastAsia="zh-CN"/>
        </w:rPr>
        <w:t>各地级市交通运输局要</w:t>
      </w:r>
      <w:r>
        <w:rPr>
          <w:rFonts w:hint="eastAsia" w:ascii="方正仿宋_GBK" w:hAnsi="方正仿宋_GBK" w:eastAsia="方正仿宋_GBK" w:cs="方正仿宋_GBK"/>
          <w:snapToGrid/>
          <w:color w:val="auto"/>
          <w:spacing w:val="0"/>
          <w:kern w:val="21"/>
          <w:sz w:val="32"/>
          <w:szCs w:val="32"/>
        </w:rPr>
        <w:t>建立直接监管企业清单和</w:t>
      </w:r>
      <w:r>
        <w:rPr>
          <w:rFonts w:hint="eastAsia" w:ascii="方正仿宋_GBK" w:hAnsi="方正仿宋_GBK" w:eastAsia="方正仿宋_GBK" w:cs="方正仿宋_GBK"/>
          <w:snapToGrid/>
          <w:color w:val="auto"/>
          <w:spacing w:val="0"/>
          <w:kern w:val="21"/>
          <w:sz w:val="32"/>
          <w:szCs w:val="32"/>
          <w:lang w:eastAsia="zh-CN"/>
        </w:rPr>
        <w:t>重大事故隐患</w:t>
      </w:r>
      <w:r>
        <w:rPr>
          <w:rFonts w:hint="eastAsia" w:ascii="方正仿宋_GBK" w:hAnsi="方正仿宋_GBK" w:eastAsia="方正仿宋_GBK" w:cs="方正仿宋_GBK"/>
          <w:snapToGrid/>
          <w:color w:val="auto"/>
          <w:spacing w:val="0"/>
          <w:kern w:val="21"/>
          <w:sz w:val="32"/>
          <w:szCs w:val="32"/>
        </w:rPr>
        <w:t>清单，对辖区填报的</w:t>
      </w:r>
      <w:r>
        <w:rPr>
          <w:rFonts w:hint="eastAsia" w:ascii="方正仿宋_GBK" w:hAnsi="方正仿宋_GBK" w:eastAsia="方正仿宋_GBK" w:cs="方正仿宋_GBK"/>
          <w:snapToGrid/>
          <w:color w:val="auto"/>
          <w:spacing w:val="0"/>
          <w:kern w:val="21"/>
          <w:sz w:val="32"/>
          <w:szCs w:val="32"/>
          <w:lang w:eastAsia="zh-CN"/>
        </w:rPr>
        <w:t>重大事故隐患</w:t>
      </w:r>
      <w:r>
        <w:rPr>
          <w:rFonts w:hint="eastAsia" w:ascii="方正仿宋_GBK" w:hAnsi="方正仿宋_GBK" w:eastAsia="方正仿宋_GBK" w:cs="方正仿宋_GBK"/>
          <w:snapToGrid/>
          <w:color w:val="auto"/>
          <w:spacing w:val="0"/>
          <w:kern w:val="21"/>
          <w:sz w:val="32"/>
          <w:szCs w:val="32"/>
        </w:rPr>
        <w:t>线上全部审核把关</w:t>
      </w:r>
      <w:r>
        <w:rPr>
          <w:rFonts w:hint="eastAsia" w:ascii="方正仿宋_GBK" w:hAnsi="方正仿宋_GBK" w:eastAsia="方正仿宋_GBK" w:cs="方正仿宋_GBK"/>
          <w:b w:val="0"/>
          <w:bCs w:val="0"/>
          <w:color w:val="auto"/>
          <w:kern w:val="21"/>
          <w:sz w:val="32"/>
          <w:szCs w:val="32"/>
          <w:lang w:val="en-US" w:eastAsia="zh-CN"/>
        </w:rPr>
        <w:t>，严格对照判定标准进行判定，确保系统录入及时、准确。</w:t>
      </w:r>
    </w:p>
    <w:p w14:paraId="65766897">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3A20D55B">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353D2EF3">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2C726D2B">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3CCCAB9C">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277CDD42">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500128C2">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31D306E3">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1EECA3A2">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333DF74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252EF58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12D8C8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3495E"/>
    <w:rsid w:val="373950A9"/>
    <w:rsid w:val="3D93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next w:val="3"/>
    <w:qFormat/>
    <w:uiPriority w:val="0"/>
    <w:pPr>
      <w:widowControl w:val="0"/>
      <w:spacing w:before="0" w:after="140" w:line="276" w:lineRule="auto"/>
      <w:ind w:firstLine="420" w:firstLineChars="100"/>
      <w:jc w:val="both"/>
    </w:pPr>
    <w:rPr>
      <w:rFonts w:ascii="Calibri" w:hAnsi="Calibri" w:eastAsia="宋体" w:cs="Times New Roman"/>
      <w:kern w:val="2"/>
      <w:sz w:val="21"/>
      <w:szCs w:val="24"/>
      <w:lang w:val="en-US" w:eastAsia="zh-CN" w:bidi="ar-SA"/>
    </w:rPr>
  </w:style>
  <w:style w:type="paragraph" w:styleId="3">
    <w:name w:val="Body Text Indent"/>
    <w:next w:val="4"/>
    <w:unhideWhenUsed/>
    <w:qFormat/>
    <w:uiPriority w:val="99"/>
    <w:pPr>
      <w:widowControl/>
      <w:spacing w:after="120"/>
      <w:ind w:left="420" w:leftChars="200"/>
      <w:jc w:val="both"/>
    </w:pPr>
    <w:rPr>
      <w:rFonts w:ascii="Calibri" w:hAnsi="Calibri" w:eastAsia="宋体" w:cs="Times New Roman"/>
      <w:kern w:val="2"/>
      <w:sz w:val="21"/>
      <w:szCs w:val="20"/>
      <w:lang w:val="en-US" w:eastAsia="zh-CN" w:bidi="ar-SA"/>
    </w:rPr>
  </w:style>
  <w:style w:type="paragraph" w:styleId="4">
    <w:name w:val="Normal Indent"/>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Body Text"/>
    <w:next w:val="1"/>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2026-03-16T03:23:00Z</dcterms:created>
  <dc:creator>我在</dc:creator>
  <cp:lastModifiedBy>我在</cp:lastModifiedBy>
  <dcterms:modified xsi:type="dcterms:W3CDTF">2026-03-16T06:21:55Z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9A2B89F0E7134EF68D27BE1288CF0446_11</vt:lpwstr>
  </property>
  <property fmtid="{D5CDD505-2E9C-101B-9397-08002B2CF9AE}" pid="4" name="KSOTemplateDocerSaveRecord">
    <vt:lpwstr>eyJoZGlkIjoiNzhmMjg1NmQwODRlYWQxMWFmNGI5ZGRkNmQ2OWM3YmEiLCJ1c2VySWQiOiIxNTI3MDA5NTI3In0=</vt:lpwstr>
  </property>
</Properties>
</file>