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92A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先进工作经验（一）</w:t>
      </w:r>
    </w:p>
    <w:p w14:paraId="739A1E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5EA04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为切实做好春运春节期间交通运输安全生产重大风险隐患排查整治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重大危险源提级管控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，进一步推动安全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生产工作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经验交流与能力共同提升，现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公开发布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福建省交通运输厅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，供各地各单位学习借鉴：</w:t>
      </w:r>
    </w:p>
    <w:p w14:paraId="2E8C2E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福建省交通运输厅着力推动自查排查走深走实。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一是实行“联动式”推进。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成立由厅主要领导牵头、分管领导调度、省市两级专班一体联动的工作机制，围绕重大隐患数量、培训覆盖率、企业自查率、县级排查率等核心指标，建立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日跟踪、日通报”工作制度，同时将企业自查隐患数量及重大隐患占比，纳入省委省政府对市级党委政府安全生产考核巡查核心要点。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二是开展“点题式”培训。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系统梳理行业内重大隐患凸显的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类“高频问题”，编制《福建省交通运输领域重大隐患判定图鉴》，组织企业开展针对性辅导培训，对照图鉴精准自查，运用“隐患整改六步法”，深挖问题根源、找准管理漏洞。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三是落实“激励式”引导。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树立“企业自查免于处罚、行业排查严肃处理”工作导向，鼓励企业主动开展自查自纠自改，通过会议通报、工作简报等形式，对提级管控落实较好、自查重大隐患较多的企业和属地行业管理部门进行表扬，调动隐患自查排查积极性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5F51DA"/>
    <w:rsid w:val="469C4453"/>
    <w:rsid w:val="4EFD400F"/>
    <w:rsid w:val="F75F51DA"/>
    <w:rsid w:val="FF6E6129"/>
    <w:rsid w:val="FFE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485</Characters>
  <Lines>0</Lines>
  <Paragraphs>0</Paragraphs>
  <TotalTime>2</TotalTime>
  <ScaleCrop>false</ScaleCrop>
  <LinksUpToDate>false</LinksUpToDate>
  <CharactersWithSpaces>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2026-01-13T18:51:00Z</dcterms:created>
  <dc:creator>kos</dc:creator>
  <cp:lastModifiedBy>我在</cp:lastModifiedBy>
  <cp:lastPrinted>2026-01-13T16:52:00Z</cp:lastPrinted>
  <dcterms:modified xsi:type="dcterms:W3CDTF">2026-01-13T09:06:15Z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58FC65A1EF4143B2832220C6B6E02FC4_13</vt:lpwstr>
  </property>
</Properties>
</file>